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71ED" w14:textId="77777777" w:rsidR="00D271A8" w:rsidRPr="00250BA7" w:rsidRDefault="00D271A8" w:rsidP="00C05C14">
      <w:pPr>
        <w:spacing w:before="120" w:after="120"/>
        <w:jc w:val="right"/>
        <w:rPr>
          <w:rFonts w:cstheme="minorHAnsi"/>
          <w:b/>
        </w:rPr>
      </w:pPr>
      <w:r w:rsidRPr="00250BA7">
        <w:rPr>
          <w:rFonts w:cstheme="minorHAnsi"/>
          <w:b/>
        </w:rPr>
        <w:t>Załącznik nr 1</w:t>
      </w:r>
    </w:p>
    <w:p w14:paraId="51798D67" w14:textId="77777777" w:rsidR="00870D6D" w:rsidRPr="00250BA7" w:rsidRDefault="00870D6D" w:rsidP="00C05C14">
      <w:pPr>
        <w:spacing w:before="120" w:after="120"/>
        <w:jc w:val="right"/>
        <w:rPr>
          <w:rFonts w:cstheme="minorHAnsi"/>
          <w:b/>
        </w:rPr>
      </w:pPr>
    </w:p>
    <w:p w14:paraId="3F328F72" w14:textId="77777777" w:rsidR="00870D6D" w:rsidRPr="00250BA7" w:rsidRDefault="00870D6D" w:rsidP="00C05C14">
      <w:pPr>
        <w:spacing w:before="120" w:after="120"/>
        <w:jc w:val="center"/>
        <w:rPr>
          <w:rFonts w:cstheme="minorHAnsi"/>
          <w:b/>
          <w:u w:val="single"/>
        </w:rPr>
      </w:pPr>
      <w:r w:rsidRPr="00250BA7">
        <w:rPr>
          <w:rFonts w:cstheme="minorHAnsi"/>
          <w:b/>
          <w:u w:val="single"/>
        </w:rPr>
        <w:t>Wstępny zakres zamówienia</w:t>
      </w:r>
    </w:p>
    <w:p w14:paraId="084E5974" w14:textId="2B5A8F56" w:rsidR="00D271A8" w:rsidRPr="0075519A" w:rsidRDefault="0075519A" w:rsidP="00C05C14">
      <w:pPr>
        <w:shd w:val="clear" w:color="auto" w:fill="FFFFFF"/>
        <w:ind w:left="11" w:right="6"/>
        <w:jc w:val="center"/>
        <w:rPr>
          <w:rFonts w:cstheme="minorHAnsi"/>
          <w:b/>
          <w:smallCaps/>
        </w:rPr>
      </w:pPr>
      <w:r w:rsidRPr="00E4235B">
        <w:rPr>
          <w:rFonts w:cstheme="minorHAnsi"/>
          <w:b/>
          <w:smallCaps/>
        </w:rPr>
        <w:t>„</w:t>
      </w:r>
      <w:r w:rsidRPr="00E4235B">
        <w:rPr>
          <w:rFonts w:cstheme="minorHAnsi"/>
          <w:b/>
          <w:bCs/>
          <w:i/>
          <w:smallCaps/>
        </w:rPr>
        <w:t xml:space="preserve">OPRACOWANIE BILANSU ŁADUNKÓW ZANIECZYSZCZEŃ ODPROWADZANYCH RZEKAMI </w:t>
      </w:r>
      <w:r w:rsidRPr="00E4235B">
        <w:rPr>
          <w:rFonts w:cstheme="minorHAnsi"/>
          <w:b/>
          <w:bCs/>
          <w:i/>
          <w:smallCaps/>
        </w:rPr>
        <w:br/>
        <w:t>DO MORZA BAŁTYCKIEGO PLC-7</w:t>
      </w:r>
      <w:r w:rsidRPr="00E4235B">
        <w:rPr>
          <w:rFonts w:cstheme="minorHAnsi"/>
          <w:b/>
          <w:smallCaps/>
        </w:rPr>
        <w:t xml:space="preserve">” </w:t>
      </w:r>
    </w:p>
    <w:p w14:paraId="40CA7A94" w14:textId="77777777" w:rsidR="00D271A8" w:rsidRPr="00250BA7" w:rsidRDefault="00D271A8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  <w:b/>
        </w:rPr>
        <w:t>Planowany termin realizacji:</w:t>
      </w:r>
    </w:p>
    <w:p w14:paraId="32CD4586" w14:textId="40E7319A" w:rsidR="00D271A8" w:rsidRPr="00250BA7" w:rsidRDefault="00D271A8" w:rsidP="00C05C14">
      <w:pPr>
        <w:spacing w:after="0"/>
        <w:jc w:val="both"/>
        <w:rPr>
          <w:rFonts w:cstheme="minorHAnsi"/>
        </w:rPr>
      </w:pPr>
      <w:r w:rsidRPr="00250BA7">
        <w:rPr>
          <w:rFonts w:cstheme="minorHAnsi"/>
        </w:rPr>
        <w:t xml:space="preserve">Etap I: </w:t>
      </w:r>
      <w:r w:rsidR="00C97851" w:rsidRPr="00250BA7">
        <w:rPr>
          <w:rFonts w:cstheme="minorHAnsi"/>
        </w:rPr>
        <w:t xml:space="preserve">niezwłocznie po podpisaniu umowy </w:t>
      </w:r>
      <w:r w:rsidRPr="00250BA7">
        <w:rPr>
          <w:rFonts w:cstheme="minorHAnsi"/>
        </w:rPr>
        <w:t>–</w:t>
      </w:r>
      <w:r w:rsidR="00415F03" w:rsidRPr="00250BA7">
        <w:rPr>
          <w:rFonts w:cstheme="minorHAnsi"/>
        </w:rPr>
        <w:t xml:space="preserve"> 31</w:t>
      </w:r>
      <w:r w:rsidRPr="00250BA7">
        <w:rPr>
          <w:rFonts w:cstheme="minorHAnsi"/>
        </w:rPr>
        <w:t xml:space="preserve"> </w:t>
      </w:r>
      <w:r w:rsidR="00415F03" w:rsidRPr="00250BA7">
        <w:rPr>
          <w:rFonts w:cstheme="minorHAnsi"/>
        </w:rPr>
        <w:t>października</w:t>
      </w:r>
      <w:r w:rsidR="00172E0F" w:rsidRPr="00250BA7">
        <w:rPr>
          <w:rFonts w:cstheme="minorHAnsi"/>
        </w:rPr>
        <w:t xml:space="preserve"> </w:t>
      </w:r>
      <w:r w:rsidR="00843A74" w:rsidRPr="00250BA7">
        <w:rPr>
          <w:rFonts w:cstheme="minorHAnsi"/>
        </w:rPr>
        <w:t>2019</w:t>
      </w:r>
      <w:r w:rsidR="00F27620" w:rsidRPr="00250BA7">
        <w:rPr>
          <w:rFonts w:cstheme="minorHAnsi"/>
        </w:rPr>
        <w:t xml:space="preserve"> r.</w:t>
      </w:r>
    </w:p>
    <w:p w14:paraId="44257BE0" w14:textId="0066B578" w:rsidR="00D271A8" w:rsidRPr="00250BA7" w:rsidRDefault="00D271A8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 xml:space="preserve">Etap II: </w:t>
      </w:r>
      <w:r w:rsidR="00415F03" w:rsidRPr="00250BA7">
        <w:rPr>
          <w:rFonts w:cstheme="minorHAnsi"/>
        </w:rPr>
        <w:t>1 listopada</w:t>
      </w:r>
      <w:r w:rsidR="00D4230B" w:rsidRPr="00250BA7">
        <w:rPr>
          <w:rFonts w:cstheme="minorHAnsi"/>
        </w:rPr>
        <w:t xml:space="preserve"> </w:t>
      </w:r>
      <w:r w:rsidRPr="00250BA7">
        <w:rPr>
          <w:rFonts w:cstheme="minorHAnsi"/>
        </w:rPr>
        <w:t>201</w:t>
      </w:r>
      <w:r w:rsidR="00C97851" w:rsidRPr="00250BA7">
        <w:rPr>
          <w:rFonts w:cstheme="minorHAnsi"/>
        </w:rPr>
        <w:t>9</w:t>
      </w:r>
      <w:r w:rsidRPr="00250BA7">
        <w:rPr>
          <w:rFonts w:cstheme="minorHAnsi"/>
        </w:rPr>
        <w:t xml:space="preserve"> –</w:t>
      </w:r>
      <w:r w:rsidR="00415F03" w:rsidRPr="00250BA7">
        <w:rPr>
          <w:rFonts w:cstheme="minorHAnsi"/>
        </w:rPr>
        <w:t xml:space="preserve"> 31</w:t>
      </w:r>
      <w:r w:rsidR="00D4230B" w:rsidRPr="00250BA7">
        <w:rPr>
          <w:rFonts w:cstheme="minorHAnsi"/>
        </w:rPr>
        <w:t xml:space="preserve"> </w:t>
      </w:r>
      <w:r w:rsidR="00415F03" w:rsidRPr="00250BA7">
        <w:rPr>
          <w:rFonts w:cstheme="minorHAnsi"/>
        </w:rPr>
        <w:t xml:space="preserve">października </w:t>
      </w:r>
      <w:r w:rsidRPr="00250BA7">
        <w:rPr>
          <w:rFonts w:cstheme="minorHAnsi"/>
        </w:rPr>
        <w:t>20</w:t>
      </w:r>
      <w:r w:rsidR="00C97851" w:rsidRPr="00250BA7">
        <w:rPr>
          <w:rFonts w:cstheme="minorHAnsi"/>
        </w:rPr>
        <w:t>20</w:t>
      </w:r>
      <w:r w:rsidR="00F27620" w:rsidRPr="00250BA7">
        <w:rPr>
          <w:rFonts w:cstheme="minorHAnsi"/>
        </w:rPr>
        <w:t xml:space="preserve"> r.</w:t>
      </w:r>
    </w:p>
    <w:p w14:paraId="6D0E1D49" w14:textId="29729309" w:rsidR="00D271A8" w:rsidRPr="00250BA7" w:rsidRDefault="00D271A8" w:rsidP="00C05C14">
      <w:pPr>
        <w:spacing w:after="120"/>
        <w:jc w:val="both"/>
        <w:rPr>
          <w:rFonts w:cstheme="minorHAnsi"/>
          <w:b/>
        </w:rPr>
      </w:pPr>
      <w:r w:rsidRPr="00250BA7">
        <w:rPr>
          <w:rFonts w:cstheme="minorHAnsi"/>
          <w:b/>
        </w:rPr>
        <w:t>Cel zadania:</w:t>
      </w:r>
    </w:p>
    <w:p w14:paraId="516D5D3F" w14:textId="0B5AD6A7" w:rsidR="00172E0F" w:rsidRPr="00250BA7" w:rsidRDefault="00172E0F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 xml:space="preserve">Celem zadania jest opracowanie bilansu ładunków zanieczyszczeń odprowadzanych rzekami do Morza Bałtyckiego PLC-7. Potrzeba realizacji zadania wynika ze zobowiązań Polski związanych z wdrażaniem Konwencji o ochronie środowiska morskiego Morza Bałtyckiego i postanowień zawartych w Deklaracji Ministerialnej, podjętych podczas Konferencji Ministerialnej HELCOM, która odbyła się w 2013 r. </w:t>
      </w:r>
      <w:r w:rsidR="008A47A6">
        <w:rPr>
          <w:rFonts w:cstheme="minorHAnsi"/>
        </w:rPr>
        <w:br/>
      </w:r>
      <w:r w:rsidRPr="00250BA7">
        <w:rPr>
          <w:rFonts w:cstheme="minorHAnsi"/>
        </w:rPr>
        <w:t>w</w:t>
      </w:r>
      <w:r w:rsidR="008A47A6">
        <w:rPr>
          <w:rFonts w:cstheme="minorHAnsi"/>
        </w:rPr>
        <w:t xml:space="preserve"> </w:t>
      </w:r>
      <w:r w:rsidRPr="00250BA7">
        <w:rPr>
          <w:rFonts w:cstheme="minorHAnsi"/>
        </w:rPr>
        <w:t xml:space="preserve">Kopenhadze. Wyniki pracy ujęte będą przez Komisję Helsińską w kolejnym cyklicznym </w:t>
      </w:r>
      <w:r w:rsidR="008A47A6">
        <w:rPr>
          <w:rFonts w:cstheme="minorHAnsi"/>
        </w:rPr>
        <w:br/>
      </w:r>
      <w:r w:rsidRPr="00250BA7">
        <w:rPr>
          <w:rFonts w:cstheme="minorHAnsi"/>
        </w:rPr>
        <w:t xml:space="preserve">raporciePLC-7. </w:t>
      </w:r>
    </w:p>
    <w:p w14:paraId="50239F7C" w14:textId="6C85A282" w:rsidR="00172E0F" w:rsidRPr="00250BA7" w:rsidRDefault="00172E0F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 xml:space="preserve">Realizacja tego zadania służy zebraniu informacji o ładunkach zanieczyszczeń pochodzenia rzecznego oraz ze źródeł punktowych trafiających </w:t>
      </w:r>
      <w:r w:rsidR="00757B20">
        <w:rPr>
          <w:rFonts w:cstheme="minorHAnsi"/>
        </w:rPr>
        <w:t>bezpośrednio</w:t>
      </w:r>
      <w:r w:rsidR="00757B20" w:rsidRPr="00250BA7">
        <w:rPr>
          <w:rFonts w:cstheme="minorHAnsi"/>
        </w:rPr>
        <w:t xml:space="preserve"> </w:t>
      </w:r>
      <w:r w:rsidRPr="00250BA7">
        <w:rPr>
          <w:rFonts w:cstheme="minorHAnsi"/>
        </w:rPr>
        <w:t xml:space="preserve">do Morza Bałtyckiego, na bazie zharmonizowanego systemu monitoringu i metod modelowania, co pozwala na określenie długofalowych zmian w ilości zanieczyszczeń pochodzących z różnych źródeł. PLC umożliwia także identyfikację znaczących źródeł zanieczyszczenia i skierowania odpowiednich działań w celu ich redukcji. </w:t>
      </w:r>
    </w:p>
    <w:p w14:paraId="7954229E" w14:textId="087A4775" w:rsidR="00172E0F" w:rsidRPr="00250BA7" w:rsidRDefault="00172E0F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>PLC wspiera wypełnienie przez Państwa-Strony HELCOM Bałtyckiego Planu Działań (</w:t>
      </w:r>
      <w:proofErr w:type="spellStart"/>
      <w:r w:rsidRPr="00250BA7">
        <w:rPr>
          <w:rFonts w:cstheme="minorHAnsi"/>
        </w:rPr>
        <w:t>Baltic</w:t>
      </w:r>
      <w:proofErr w:type="spellEnd"/>
      <w:r w:rsidRPr="00250BA7">
        <w:rPr>
          <w:rFonts w:cstheme="minorHAnsi"/>
        </w:rPr>
        <w:t xml:space="preserve"> Sea Action Plan), który zakłada maksymalne ilości zanieczyszczeń wprowadzane przez kraje do Bałtyku (MAI) oraz cele redukcyjne dla poszczególnych państw (CART). PLC ocenia efekty działań podjęte w celu redukcji ilości biogenów trafiających do Morza Bałtyckiego; postępy w celu osiągnięcia MAI i CART przez Państwa-Strony; identyfikuje działania, które należy podjąć w celu redukcji biogenów trafiających do Bałtyku. </w:t>
      </w:r>
    </w:p>
    <w:p w14:paraId="2B7F7B64" w14:textId="2BC0F6AB" w:rsidR="00172E0F" w:rsidRPr="00250BA7" w:rsidRDefault="00172E0F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>Ponadto wyniki pracy nad PLC-7 będą służyły jako wiarygodna, jednolita i porównywalna baza danych o zanieczyszczeniach trafiających do Morza Bałtyckiego</w:t>
      </w:r>
    </w:p>
    <w:p w14:paraId="327F6EDC" w14:textId="77777777" w:rsidR="00D271A8" w:rsidRPr="00250BA7" w:rsidRDefault="00D271A8" w:rsidP="00C05C14">
      <w:pPr>
        <w:spacing w:after="120"/>
        <w:jc w:val="both"/>
        <w:rPr>
          <w:rFonts w:cstheme="minorHAnsi"/>
          <w:b/>
        </w:rPr>
      </w:pPr>
      <w:r w:rsidRPr="00250BA7">
        <w:rPr>
          <w:rFonts w:cstheme="minorHAnsi"/>
          <w:b/>
        </w:rPr>
        <w:t>Przedmiot pracy:</w:t>
      </w:r>
    </w:p>
    <w:p w14:paraId="12B9A54B" w14:textId="7F4C6BDF" w:rsidR="00D271A8" w:rsidRPr="00250BA7" w:rsidRDefault="00415F03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 xml:space="preserve">Przedmiotem pracy jest stworzenie kompleksowego opracowania bilansu ładunków zanieczyszczeń odprowadzanych z obszaru Polski w 2017 i 2018 roku do Morza Bałtyckiego rzekami oraz z obszarów bezpośredniego spływu do wód Bałtyku wraz z oceną długoterminowych zmian w ilości zanieczyszczeń pochodzących z różnych źródeł w oparciu o wyniki uzyskane w trakcie realizacji programów PLC-6, PLC-5 i PLC-4, a także corocznie sprawozdawanych do HELCOM wyników </w:t>
      </w:r>
      <w:r w:rsidR="008A47A6">
        <w:rPr>
          <w:rFonts w:cstheme="minorHAnsi"/>
        </w:rPr>
        <w:br/>
      </w:r>
      <w:r w:rsidRPr="00250BA7">
        <w:rPr>
          <w:rFonts w:cstheme="minorHAnsi"/>
        </w:rPr>
        <w:t>w zakresie wielkości ładunków zanieczyszczeń odprowadzanych rzekami z Polski do Bałtyku.</w:t>
      </w:r>
      <w:r w:rsidR="00D57EBB">
        <w:rPr>
          <w:rFonts w:cstheme="minorHAnsi"/>
        </w:rPr>
        <w:br/>
      </w:r>
      <w:r w:rsidR="00D57EBB">
        <w:rPr>
          <w:rFonts w:cstheme="minorHAnsi"/>
        </w:rPr>
        <w:br/>
      </w:r>
    </w:p>
    <w:p w14:paraId="7706E551" w14:textId="77777777" w:rsidR="00D271A8" w:rsidRPr="00250BA7" w:rsidRDefault="00D271A8" w:rsidP="00C05C14">
      <w:pPr>
        <w:spacing w:after="120"/>
        <w:jc w:val="both"/>
        <w:rPr>
          <w:rFonts w:cstheme="minorHAnsi"/>
          <w:b/>
        </w:rPr>
      </w:pPr>
      <w:r w:rsidRPr="00250BA7">
        <w:rPr>
          <w:rFonts w:cstheme="minorHAnsi"/>
          <w:b/>
        </w:rPr>
        <w:lastRenderedPageBreak/>
        <w:t>Zakres merytoryczny:</w:t>
      </w:r>
    </w:p>
    <w:p w14:paraId="5E9841AB" w14:textId="77777777" w:rsidR="00D271A8" w:rsidRPr="00250BA7" w:rsidRDefault="00D271A8" w:rsidP="00C05C14">
      <w:pPr>
        <w:spacing w:after="120"/>
        <w:jc w:val="both"/>
        <w:rPr>
          <w:rFonts w:cstheme="minorHAnsi"/>
        </w:rPr>
      </w:pPr>
      <w:r w:rsidRPr="00250BA7">
        <w:rPr>
          <w:rFonts w:cstheme="minorHAnsi"/>
        </w:rPr>
        <w:t xml:space="preserve">Praca zostanie wykonana w podziale na </w:t>
      </w:r>
      <w:r w:rsidR="000D5E1C" w:rsidRPr="00250BA7">
        <w:rPr>
          <w:rFonts w:cstheme="minorHAnsi"/>
        </w:rPr>
        <w:t>dwa</w:t>
      </w:r>
      <w:r w:rsidRPr="00250BA7">
        <w:rPr>
          <w:rFonts w:cstheme="minorHAnsi"/>
        </w:rPr>
        <w:t xml:space="preserve"> etapy. Zakres merytoryczny obejmuje następujące elementy:</w:t>
      </w:r>
    </w:p>
    <w:p w14:paraId="373C7BB2" w14:textId="77777777" w:rsid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7E648277" w14:textId="73AD515B" w:rsidR="00FC53A5" w:rsidRPr="00FC53A5" w:rsidRDefault="00FC53A5" w:rsidP="00C05C14">
      <w:pPr>
        <w:tabs>
          <w:tab w:val="num" w:pos="0"/>
        </w:tabs>
        <w:spacing w:before="120" w:after="120"/>
        <w:jc w:val="both"/>
        <w:rPr>
          <w:rFonts w:eastAsia="Times New Roman" w:cstheme="minorHAnsi"/>
          <w:b/>
          <w:u w:val="single"/>
          <w:lang w:eastAsia="pl-PL"/>
        </w:rPr>
      </w:pPr>
      <w:r w:rsidRPr="00FC53A5">
        <w:rPr>
          <w:rFonts w:eastAsia="Batang" w:cstheme="minorHAnsi"/>
          <w:b/>
          <w:lang w:eastAsia="pl-PL"/>
        </w:rPr>
        <w:t xml:space="preserve">ETAP I – polegać będzie na: zebraniu, analizie, przetworzeniu i weryfikacji danych o punktowych </w:t>
      </w:r>
      <w:r w:rsidR="001465E4">
        <w:rPr>
          <w:rFonts w:eastAsia="Palatino Linotype" w:cstheme="minorHAnsi"/>
          <w:lang w:eastAsia="pl-PL"/>
        </w:rPr>
        <w:br/>
      </w:r>
      <w:r w:rsidRPr="00FC53A5">
        <w:rPr>
          <w:rFonts w:eastAsia="Batang" w:cstheme="minorHAnsi"/>
          <w:b/>
          <w:lang w:eastAsia="pl-PL"/>
        </w:rPr>
        <w:t>i obszarowych źródłach zanieczyszczeń niezbędnych do rocznych raportów za 2018. oraz sześcioletniego raportu PLC-7; zaprezentowaniu modeli, które będą wykorzystane do obliczania ładunków zanieczyszczeń; zaprezentowaniu dostosowanej do potrzeb Polski metodyki bilansowania zanieczyszczeń</w:t>
      </w:r>
      <w:r w:rsidR="00AF0CC1">
        <w:rPr>
          <w:rFonts w:eastAsia="Batang" w:cstheme="minorHAnsi"/>
          <w:b/>
          <w:lang w:eastAsia="pl-PL"/>
        </w:rPr>
        <w:t xml:space="preserve"> </w:t>
      </w:r>
      <w:r w:rsidRPr="00FC53A5">
        <w:rPr>
          <w:rFonts w:eastAsia="Batang" w:cstheme="minorHAnsi"/>
          <w:b/>
          <w:lang w:eastAsia="pl-PL"/>
        </w:rPr>
        <w:t>z uwzględnieniem wytycznych HELCOM; opracowaniu bilansu ładunków zanieczyszczeń za 2018-r.</w:t>
      </w:r>
    </w:p>
    <w:p w14:paraId="70EE1726" w14:textId="77777777" w:rsidR="00FC53A5" w:rsidRPr="00FC53A5" w:rsidRDefault="00FC53A5" w:rsidP="00C05C14">
      <w:pPr>
        <w:spacing w:after="160"/>
        <w:jc w:val="both"/>
        <w:rPr>
          <w:rFonts w:eastAsia="Palatino Linotype" w:cstheme="minorHAnsi"/>
          <w:b/>
          <w:lang w:eastAsia="pl-PL"/>
        </w:rPr>
      </w:pPr>
      <w:r w:rsidRPr="00FC53A5">
        <w:rPr>
          <w:rFonts w:eastAsia="Palatino Linotype" w:cstheme="minorHAnsi"/>
          <w:b/>
          <w:lang w:eastAsia="pl-PL"/>
        </w:rPr>
        <w:t xml:space="preserve">Zadanie 1. </w:t>
      </w:r>
      <w:r w:rsidRPr="00FC53A5">
        <w:rPr>
          <w:rFonts w:eastAsia="Palatino Linotype" w:cstheme="minorHAnsi"/>
          <w:lang w:eastAsia="pl-PL"/>
        </w:rPr>
        <w:t>Wstępna aktualizacja metodyki bilansowania ładunków zanieczyszczeń pochodzących ze źródeł punktowych i rozproszonych zgodnie z wymaganiami HELCOM, sporządzenie zakresu i źródeł danych o źródłach zanieczyszczeń punktowych i rozproszonych trafiających do wód oraz sposobu ich pozyskiwania, rejestrowania i przetwarzania.</w:t>
      </w:r>
    </w:p>
    <w:p w14:paraId="78FAF9D2" w14:textId="77777777" w:rsidR="00FC53A5" w:rsidRPr="00FC53A5" w:rsidRDefault="00FC53A5" w:rsidP="00C05C14">
      <w:pPr>
        <w:spacing w:after="160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Aktualizacja metodyki bilansowania zanieczyszczeń ze źródeł punktowych</w:t>
      </w:r>
      <w:r w:rsidRPr="00FC53A5">
        <w:rPr>
          <w:rFonts w:eastAsia="Palatino Linotype" w:cstheme="minorHAnsi"/>
          <w:lang w:eastAsia="pl-PL"/>
        </w:rPr>
        <w:br/>
        <w:t>i obszarowych i metodyki statystycznego przeliczania trendów zawartych w przewodniku</w:t>
      </w:r>
      <w:r w:rsidRPr="00FC53A5">
        <w:rPr>
          <w:rFonts w:eastAsia="Palatino Linotype" w:cstheme="minorHAnsi"/>
          <w:lang w:eastAsia="pl-PL"/>
        </w:rPr>
        <w:br/>
        <w:t>do PLC, przy współpracy z grupą roboczą HELCOM PLC. Wykonawca w ramach metodyk statystycznych zaproponowanych w HELCOM, wybierze najbardziej optymalną, ze względu na dostępność polskich danych, metodę i uzasadni ten wybór. Wykonawca przez cały okres trwania zamówienia będzie stosował wybraną metodę statystyczną.</w:t>
      </w:r>
    </w:p>
    <w:p w14:paraId="4F4EF895" w14:textId="486B7635" w:rsidR="00FC53A5" w:rsidRPr="00FC53A5" w:rsidRDefault="00FC53A5" w:rsidP="00C05C14">
      <w:pPr>
        <w:spacing w:after="160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W ramach tego zadania Wykonawca zapewni konsultacje w ramach prac grupy roboczej PLC</w:t>
      </w:r>
      <w:r w:rsidR="00757B20">
        <w:rPr>
          <w:rFonts w:eastAsia="Palatino Linotype" w:cstheme="minorHAnsi"/>
          <w:lang w:eastAsia="pl-PL"/>
        </w:rPr>
        <w:t xml:space="preserve"> IG</w:t>
      </w:r>
      <w:r w:rsidRPr="00FC53A5">
        <w:rPr>
          <w:rFonts w:eastAsia="Palatino Linotype" w:cstheme="minorHAnsi"/>
          <w:lang w:eastAsia="pl-PL"/>
        </w:rPr>
        <w:t xml:space="preserve">, </w:t>
      </w:r>
      <w:r w:rsidR="001465E4">
        <w:rPr>
          <w:rFonts w:eastAsia="Palatino Linotype" w:cstheme="minorHAnsi"/>
          <w:lang w:eastAsia="pl-PL"/>
        </w:rPr>
        <w:br/>
      </w:r>
      <w:r w:rsidRPr="00FC53A5">
        <w:rPr>
          <w:rFonts w:eastAsia="Palatino Linotype" w:cstheme="minorHAnsi"/>
          <w:lang w:eastAsia="pl-PL"/>
        </w:rPr>
        <w:t>a także w razie konieczności zapewni udział przedstawiciela w spotkaniach grupy. Wykonawca pokryje koszty uczestnictwa w ww. spotkaniach swojego eksperta.</w:t>
      </w:r>
    </w:p>
    <w:p w14:paraId="23A33962" w14:textId="0CA44BE2" w:rsidR="00FC53A5" w:rsidRPr="00FC53A5" w:rsidRDefault="00FC53A5" w:rsidP="00C05C14">
      <w:pPr>
        <w:spacing w:after="160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Ponadto</w:t>
      </w:r>
      <w:r w:rsidRPr="00FC53A5">
        <w:rPr>
          <w:rFonts w:eastAsia="Palatino Linotype" w:cstheme="minorHAnsi"/>
          <w:b/>
          <w:lang w:eastAsia="pl-PL"/>
        </w:rPr>
        <w:t xml:space="preserve"> </w:t>
      </w:r>
      <w:r w:rsidRPr="00FC53A5">
        <w:rPr>
          <w:rFonts w:eastAsia="Palatino Linotype" w:cstheme="minorHAnsi"/>
          <w:lang w:eastAsia="pl-PL"/>
        </w:rPr>
        <w:t>Wykonawca</w:t>
      </w:r>
      <w:r w:rsidRPr="00FC53A5">
        <w:rPr>
          <w:rFonts w:eastAsia="Palatino Linotype" w:cstheme="minorHAnsi"/>
          <w:b/>
          <w:lang w:eastAsia="pl-PL"/>
        </w:rPr>
        <w:t xml:space="preserve"> </w:t>
      </w:r>
      <w:r w:rsidRPr="00FC53A5">
        <w:rPr>
          <w:rFonts w:eastAsia="Palatino Linotype" w:cstheme="minorHAnsi"/>
          <w:lang w:eastAsia="pl-PL"/>
        </w:rPr>
        <w:t xml:space="preserve">sporządzi szczegółową procedurę realizacji pracy w celu wykonania raportu wieloletniego PLC (dostosowanej do harmonogramu prac wypracowanego w ramach HELCOM), </w:t>
      </w:r>
      <w:r w:rsidR="001465E4">
        <w:rPr>
          <w:rFonts w:eastAsia="Palatino Linotype" w:cstheme="minorHAnsi"/>
          <w:lang w:eastAsia="pl-PL"/>
        </w:rPr>
        <w:br/>
      </w:r>
      <w:r w:rsidRPr="00FC53A5">
        <w:rPr>
          <w:rFonts w:eastAsia="Palatino Linotype" w:cstheme="minorHAnsi"/>
          <w:lang w:eastAsia="pl-PL"/>
        </w:rPr>
        <w:t xml:space="preserve">z określeniem zakresu danych niezbędnych do realizacji zadań w ramach przedsięwzięcia i sposobu ich wykorzystania. Procedura realizacji prac będzie punktem odniesienia do wszelkich zadań przeprowadzonych w ramach przedsięwzięcia. Opracowana procedura powinna składać się z nazwy </w:t>
      </w:r>
      <w:r w:rsidR="001465E4">
        <w:rPr>
          <w:rFonts w:eastAsia="Palatino Linotype" w:cstheme="minorHAnsi"/>
          <w:lang w:eastAsia="pl-PL"/>
        </w:rPr>
        <w:br/>
      </w:r>
      <w:r w:rsidRPr="00FC53A5">
        <w:rPr>
          <w:rFonts w:eastAsia="Palatino Linotype" w:cstheme="minorHAnsi"/>
          <w:lang w:eastAsia="pl-PL"/>
        </w:rPr>
        <w:t>i opisu wszystkich uporządkowanych czynności koniecznych do pełnego i należytego wykonania przedsięwzięcia, w szczególności takich jak: inwentaryzacja punktowych źródeł zanieczyszczeń, zbilansowanie rozproszonych ładunków zanieczyszczeń, obliczenie retencji, obliczenie wielkości ładunków dopływających do Polski, a także odpływających za granice, obliczenie strat ładunków, rozdział wielkości ładunków według kategorii źródeł ich pochodzenia, opracowanie wykazu danych wejściowych niezbędnych do wykonania ww. procesów analitycznych wraz ze wskazaniem źródeł</w:t>
      </w:r>
      <w:r w:rsidRPr="00FC53A5">
        <w:rPr>
          <w:rFonts w:eastAsia="Palatino Linotype" w:cstheme="minorHAnsi"/>
          <w:lang w:eastAsia="pl-PL"/>
        </w:rPr>
        <w:br/>
        <w:t>i sposobu ich pozyskania.</w:t>
      </w:r>
    </w:p>
    <w:p w14:paraId="47DD227E" w14:textId="77777777" w:rsidR="00FC53A5" w:rsidRPr="00FC53A5" w:rsidRDefault="00FC53A5" w:rsidP="00C05C14">
      <w:pPr>
        <w:spacing w:after="160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 xml:space="preserve">W ramach zadania Wykonawca dokona aktualizacji powierzchni zlewni bilansowych </w:t>
      </w:r>
      <w:r w:rsidRPr="00FC53A5">
        <w:rPr>
          <w:rFonts w:eastAsia="Palatino Linotype" w:cstheme="minorHAnsi"/>
          <w:lang w:eastAsia="pl-PL"/>
        </w:rPr>
        <w:br/>
        <w:t xml:space="preserve">i obliczeniowych według obowiązującego stanu prawnego, na potrzeby sporządzenia bilansu zanieczyszczeń odprowadzanych z obszaru Polski do Bałtyku oraz dopływających do Polski z krajów sąsiadujących. </w:t>
      </w:r>
    </w:p>
    <w:p w14:paraId="098116F7" w14:textId="3F8C5531" w:rsidR="00FC53A5" w:rsidRPr="00FC53A5" w:rsidRDefault="00FC53A5" w:rsidP="00C05C14">
      <w:pPr>
        <w:spacing w:after="160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lastRenderedPageBreak/>
        <w:t>Wykonawca przeprowadzi</w:t>
      </w:r>
      <w:r w:rsidRPr="00FC53A5">
        <w:rPr>
          <w:rFonts w:eastAsia="Palatino Linotype" w:cstheme="minorHAnsi"/>
          <w:b/>
          <w:lang w:eastAsia="pl-PL"/>
        </w:rPr>
        <w:t xml:space="preserve"> </w:t>
      </w:r>
      <w:r w:rsidRPr="00FC53A5">
        <w:rPr>
          <w:rFonts w:eastAsia="Palatino Linotype" w:cstheme="minorHAnsi"/>
          <w:lang w:eastAsia="pl-PL"/>
        </w:rPr>
        <w:t xml:space="preserve">analizę wraz z aktualizacją możliwości zastosowania danych </w:t>
      </w:r>
      <w:r w:rsidRPr="00FC53A5">
        <w:rPr>
          <w:rFonts w:eastAsia="Palatino Linotype" w:cstheme="minorHAnsi"/>
          <w:lang w:eastAsia="pl-PL"/>
        </w:rPr>
        <w:br/>
        <w:t>o zrzutach punktowych i emitowanych zanieczyszczeniach zgodnie z metodyką bilansowania zanieczyszczeń na potrzeby PLC-7. Dokonana zostanie również identyfikacja punktowych komunalnych</w:t>
      </w:r>
      <w:r w:rsidR="00AD7F74">
        <w:rPr>
          <w:rFonts w:eastAsia="Palatino Linotype" w:cstheme="minorHAnsi"/>
          <w:lang w:eastAsia="pl-PL"/>
        </w:rPr>
        <w:t xml:space="preserve"> i</w:t>
      </w:r>
      <w:r w:rsidRPr="00FC53A5">
        <w:rPr>
          <w:rFonts w:eastAsia="Palatino Linotype" w:cstheme="minorHAnsi"/>
          <w:lang w:eastAsia="pl-PL"/>
        </w:rPr>
        <w:t xml:space="preserve"> przemysłowych źródeł zanieczyszczeń oraz zanieczyszczeń z hodowli ryb wymaganych do pozyskania w celu realizacji PLC-7, uwzględniając zrzuty bezpośrednio do Morza Bałtyckiego. Należy wziąć pod uwagę w szczególności dane z Krajowego Programu Oczyszczania Ścieków Komunalnych,</w:t>
      </w:r>
      <w:r w:rsidR="001C737B" w:rsidRPr="001C737B">
        <w:rPr>
          <w:rFonts w:cstheme="minorHAnsi"/>
        </w:rPr>
        <w:t xml:space="preserve"> </w:t>
      </w:r>
      <w:r w:rsidR="001C737B">
        <w:rPr>
          <w:rFonts w:cstheme="minorHAnsi"/>
        </w:rPr>
        <w:t>wyniki pracy pn.:</w:t>
      </w:r>
      <w:r w:rsidR="001C737B" w:rsidRPr="009A60A9">
        <w:t xml:space="preserve"> </w:t>
      </w:r>
      <w:r w:rsidR="001C737B" w:rsidRPr="009A60A9">
        <w:rPr>
          <w:rFonts w:cstheme="minorHAnsi"/>
        </w:rPr>
        <w:t xml:space="preserve">„Identyfikacja presji w regionach wodnych i na obszarach dorzeczy” Część I: Utworzenie krajowej bazy danych o zmianach </w:t>
      </w:r>
      <w:proofErr w:type="spellStart"/>
      <w:r w:rsidR="001C737B" w:rsidRPr="009A60A9">
        <w:rPr>
          <w:rFonts w:cstheme="minorHAnsi"/>
        </w:rPr>
        <w:t>hydromorfologicznych</w:t>
      </w:r>
      <w:proofErr w:type="spellEnd"/>
      <w:r w:rsidR="001C737B" w:rsidRPr="009A60A9">
        <w:rPr>
          <w:rFonts w:cstheme="minorHAnsi"/>
        </w:rPr>
        <w:t xml:space="preserve"> oraz </w:t>
      </w:r>
      <w:r w:rsidR="00162438">
        <w:rPr>
          <w:rFonts w:cstheme="minorHAnsi"/>
        </w:rPr>
        <w:br/>
      </w:r>
      <w:r w:rsidR="001C737B" w:rsidRPr="009A60A9">
        <w:rPr>
          <w:rFonts w:cstheme="minorHAnsi"/>
        </w:rPr>
        <w:t>Część II: Opracowanie bazy danych o presjach antropogenicznych</w:t>
      </w:r>
      <w:r w:rsidR="001C737B">
        <w:rPr>
          <w:rFonts w:cstheme="minorHAnsi"/>
        </w:rPr>
        <w:t>”</w:t>
      </w:r>
      <w:r w:rsidRPr="00FC53A5">
        <w:rPr>
          <w:rFonts w:eastAsia="Palatino Linotype" w:cstheme="minorHAnsi"/>
          <w:lang w:eastAsia="pl-PL"/>
        </w:rPr>
        <w:t xml:space="preserve"> dane Marszałków, RZGW, WIOŚ, PRTR, </w:t>
      </w:r>
      <w:proofErr w:type="spellStart"/>
      <w:r w:rsidRPr="00FC53A5">
        <w:rPr>
          <w:rFonts w:eastAsia="Palatino Linotype" w:cstheme="minorHAnsi"/>
          <w:lang w:eastAsia="pl-PL"/>
        </w:rPr>
        <w:t>Ekoinfonet</w:t>
      </w:r>
      <w:proofErr w:type="spellEnd"/>
      <w:r w:rsidRPr="00FC53A5">
        <w:rPr>
          <w:rFonts w:eastAsia="Palatino Linotype" w:cstheme="minorHAnsi"/>
          <w:lang w:eastAsia="pl-PL"/>
        </w:rPr>
        <w:t>.</w:t>
      </w:r>
    </w:p>
    <w:p w14:paraId="385AB761" w14:textId="3186913A" w:rsidR="00FC53A5" w:rsidRPr="00FC53A5" w:rsidRDefault="00FC53A5" w:rsidP="00C05C14">
      <w:p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Wykonawca opracuje jednolite formularze w celu zbierania danych o punktowych źródłach zanieczyszczeń z uwzględnieniem co najmniej wyszczególnionych informacji (wraz z wytycznymi dotyczącymi sposobu ich wypełnienia).</w:t>
      </w:r>
    </w:p>
    <w:p w14:paraId="0B39E02E" w14:textId="77777777" w:rsidR="00FC53A5" w:rsidRPr="00FC53A5" w:rsidRDefault="00FC53A5" w:rsidP="00C05C14">
      <w:p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Zakres informacji obejmie m.in.:</w:t>
      </w:r>
    </w:p>
    <w:p w14:paraId="4659F351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nazwę miasta;</w:t>
      </w:r>
    </w:p>
    <w:p w14:paraId="03D84385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nazwę rzeki/odbiornika;</w:t>
      </w:r>
    </w:p>
    <w:p w14:paraId="1AA2F7AC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nazwę rzeki niższego rzędu;</w:t>
      </w:r>
    </w:p>
    <w:p w14:paraId="7904375B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współrzędne geograficzne zrzutu;</w:t>
      </w:r>
    </w:p>
    <w:p w14:paraId="31CC8EE7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kod i nazwę jednolitej części wód na której zlokalizowany jest zrzut zanieczyszczeń;</w:t>
      </w:r>
    </w:p>
    <w:p w14:paraId="0F92FCAD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nazwę oczyszczalni;</w:t>
      </w:r>
    </w:p>
    <w:p w14:paraId="14F43AA3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równoważną liczbę mieszkańców - RLM;</w:t>
      </w:r>
    </w:p>
    <w:p w14:paraId="787A451F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liczbę przyłączonych mieszkańców;</w:t>
      </w:r>
    </w:p>
    <w:p w14:paraId="05BAA22A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metodę oczyszczania ścieków;</w:t>
      </w:r>
    </w:p>
    <w:p w14:paraId="63EBC7F3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ilość oczyszczanych ścieków w m</w:t>
      </w:r>
      <w:r w:rsidRPr="00FC53A5">
        <w:rPr>
          <w:rFonts w:eastAsia="Palatino Linotype" w:cstheme="minorHAnsi"/>
          <w:vertAlign w:val="superscript"/>
          <w:lang w:eastAsia="pl-PL"/>
        </w:rPr>
        <w:t>3</w:t>
      </w:r>
      <w:r w:rsidRPr="00FC53A5">
        <w:rPr>
          <w:rFonts w:eastAsia="Palatino Linotype" w:cstheme="minorHAnsi"/>
          <w:lang w:eastAsia="pl-PL"/>
        </w:rPr>
        <w:t>/rok;</w:t>
      </w:r>
    </w:p>
    <w:p w14:paraId="676292F0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zakres wskaźników w zależności od kategorii zrzutu;</w:t>
      </w:r>
    </w:p>
    <w:p w14:paraId="4BABDCF9" w14:textId="77777777" w:rsidR="00FC53A5" w:rsidRPr="00FC53A5" w:rsidRDefault="00FC53A5" w:rsidP="00C05C14">
      <w:pPr>
        <w:numPr>
          <w:ilvl w:val="0"/>
          <w:numId w:val="14"/>
        </w:numPr>
        <w:spacing w:after="160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informacje o pomiarach (metoda badań laboratoryjnych, liczba pobranych prób, granice oznaczalności) oraz wyniki pomiarów.</w:t>
      </w:r>
    </w:p>
    <w:p w14:paraId="1B4929DB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Zadanie 2. Zebranie, analiza, przetworzenie danych o punktowych i obszarowych źródłach zanieczyszczeń dla potrzeb raportu PLC-7. </w:t>
      </w:r>
    </w:p>
    <w:p w14:paraId="60D77187" w14:textId="1A8FADB0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Wszelkie dane w trakcie realizacji niniejszego przedsięwzięcia i wykorzystywane na potrzeby realizacji bilansu ładunku zanieczyszczeń PLC-7 zostaną przekazane Zamawiającemu</w:t>
      </w:r>
      <w:r w:rsidR="000926DC">
        <w:rPr>
          <w:rFonts w:eastAsia="Times New Roman" w:cstheme="minorHAnsi"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w wersji elektronicznej, </w:t>
      </w:r>
      <w:r w:rsidR="000926DC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w formie tabelarycznej i warstw przestrzennych (np. w formacie .</w:t>
      </w:r>
      <w:proofErr w:type="spellStart"/>
      <w:r w:rsidRPr="00FC53A5">
        <w:rPr>
          <w:rFonts w:eastAsia="Times New Roman" w:cstheme="minorHAnsi"/>
          <w:lang w:eastAsia="pl-PL"/>
        </w:rPr>
        <w:t>shp</w:t>
      </w:r>
      <w:proofErr w:type="spellEnd"/>
      <w:r w:rsidRPr="00FC53A5">
        <w:rPr>
          <w:rFonts w:eastAsia="Times New Roman" w:cstheme="minorHAnsi"/>
          <w:lang w:eastAsia="pl-PL"/>
        </w:rPr>
        <w:t>).</w:t>
      </w:r>
    </w:p>
    <w:p w14:paraId="442B2002" w14:textId="411D8A1A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Wykonawca dokona rozpoznania rozproszonych źródeł zanieczyszczeń w oparciu o dane Banku Danych Lokalnych GUS (np. emisja zanieczyszczeń z małych oczyszczalni) oraz innych źródeł dostępnych danych w miarę możliwości ich pozyskania. Wykonawca w terminie 7 dni od dnia podpisania umowy przekaże Zamawiającemu informacje o źródłach dostępnych danych, które Zamawiający zamierza pozyskać, w celu prawidłowego</w:t>
      </w:r>
      <w:r w:rsidR="00C05C14">
        <w:rPr>
          <w:rFonts w:eastAsia="Times New Roman" w:cstheme="minorHAnsi"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i rzetelnego wykonania zadania. W ramach zadania Wykonawca zbierze oraz przeanalizuje dane oraz informacje dotyczące podkładów zagospodarowania terenu, przepuszczalności gleb, spadku terenów i inne. Sporządzenie zestawu danych związanych ze szczegółową analizą podkładów i obliczeniem powierzchni zagospodarowania terenu musi uwzględniać kategorie (gęstości) zabudowy z programu </w:t>
      </w:r>
      <w:proofErr w:type="spellStart"/>
      <w:r w:rsidRPr="00FC53A5">
        <w:rPr>
          <w:rFonts w:eastAsia="Times New Roman" w:cstheme="minorHAnsi"/>
          <w:lang w:eastAsia="pl-PL"/>
        </w:rPr>
        <w:t>Corine</w:t>
      </w:r>
      <w:proofErr w:type="spellEnd"/>
      <w:r w:rsidRPr="00FC53A5">
        <w:rPr>
          <w:rFonts w:eastAsia="Times New Roman" w:cstheme="minorHAnsi"/>
          <w:lang w:eastAsia="pl-PL"/>
        </w:rPr>
        <w:t xml:space="preserve"> Land </w:t>
      </w:r>
      <w:proofErr w:type="spellStart"/>
      <w:r w:rsidRPr="00FC53A5">
        <w:rPr>
          <w:rFonts w:eastAsia="Times New Roman" w:cstheme="minorHAnsi"/>
          <w:lang w:eastAsia="pl-PL"/>
        </w:rPr>
        <w:t>Cover</w:t>
      </w:r>
      <w:proofErr w:type="spellEnd"/>
      <w:r w:rsidRPr="00FC53A5">
        <w:rPr>
          <w:rFonts w:eastAsia="Times New Roman" w:cstheme="minorHAnsi"/>
          <w:lang w:eastAsia="pl-PL"/>
        </w:rPr>
        <w:t xml:space="preserve"> 2018. Obliczenia zostaną wykonane osobno dla każdego z wyznaczonych obszarów zlewni bilansowych. </w:t>
      </w:r>
      <w:r w:rsidRPr="00FC53A5">
        <w:rPr>
          <w:rFonts w:eastAsia="Times New Roman" w:cstheme="minorHAnsi"/>
          <w:lang w:eastAsia="pl-PL"/>
        </w:rPr>
        <w:lastRenderedPageBreak/>
        <w:t>Wykonawca dokona szczegółowej analizy podkładów oraz obliczeń powierzchni gleb w zakresie przepuszczalności, a obliczenia zostaną wykonane osobno dla każdego z wyznaczonych obszarów zlewni bilansowych i obliczeniowych.</w:t>
      </w:r>
    </w:p>
    <w:p w14:paraId="4577D002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Ponadto w ramach tego zadania Wykonawca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>sporządzi zestawy danych i analizy informacji związane z oddziaływaniem antropogenicznym w ujęciu hydrograficznym i z uwzględnieniem podstawowych jednostek podziału terytorialnego obszaru Polski na podstawie baz danych BDL GUS, w tym:</w:t>
      </w:r>
    </w:p>
    <w:p w14:paraId="2073AA0E" w14:textId="77777777" w:rsidR="00FC53A5" w:rsidRPr="00FC53A5" w:rsidRDefault="00FC53A5" w:rsidP="00C05C14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 xml:space="preserve">sporządzenie wykazu jednostek podziału terytorialnego kraju na poziomie gmin </w:t>
      </w:r>
      <w:r w:rsidRPr="00FC53A5">
        <w:rPr>
          <w:rFonts w:eastAsia="Palatino Linotype" w:cstheme="minorHAnsi"/>
          <w:lang w:eastAsia="pl-PL"/>
        </w:rPr>
        <w:br/>
        <w:t>z danymi statystycznymi w celu zespolenia danych tabelarycznych i przestrzennych</w:t>
      </w:r>
      <w:r w:rsidRPr="00FC53A5">
        <w:rPr>
          <w:rFonts w:eastAsia="Palatino Linotype" w:cstheme="minorHAnsi"/>
          <w:lang w:eastAsia="pl-PL"/>
        </w:rPr>
        <w:br/>
        <w:t>z uwzględnieniem ich zgodności z kodem gminy wg GUS;</w:t>
      </w:r>
    </w:p>
    <w:p w14:paraId="104F9FF3" w14:textId="77777777" w:rsidR="00FC53A5" w:rsidRPr="00FC53A5" w:rsidRDefault="00FC53A5" w:rsidP="00C05C14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sporządzenie algorytmu umożliwiającego obliczenie procentowego udziału powierzchni gminy, w całkowitej powierzchni obszaru obliczeniowego, dla gmin które całkowicie lub częściowo leżą w obrębie danego obszaru obliczeniowego;</w:t>
      </w:r>
    </w:p>
    <w:p w14:paraId="59B7DDFB" w14:textId="425A9F57" w:rsidR="00FC53A5" w:rsidRPr="00FC53A5" w:rsidRDefault="00FC53A5" w:rsidP="00C05C14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 xml:space="preserve">opracowanie wartości wskaźników jednostkowych na obszarach obliczeniowych ujętych </w:t>
      </w:r>
      <w:r w:rsidR="0075708C">
        <w:rPr>
          <w:rFonts w:eastAsia="Palatino Linotype" w:cstheme="minorHAnsi"/>
          <w:lang w:eastAsia="pl-PL"/>
        </w:rPr>
        <w:br/>
      </w:r>
      <w:r w:rsidRPr="00FC53A5">
        <w:rPr>
          <w:rFonts w:eastAsia="Palatino Linotype" w:cstheme="minorHAnsi"/>
          <w:lang w:eastAsia="pl-PL"/>
        </w:rPr>
        <w:t xml:space="preserve">w programie prac PLC-7 w celu zbilansowania zanieczyszczeń ze źródeł rozproszonych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Palatino Linotype" w:cstheme="minorHAnsi"/>
          <w:lang w:eastAsia="pl-PL"/>
        </w:rPr>
        <w:t>z uwzględnieniem gmin lub części gmin leżących na danym obszarze obliczeniowym;</w:t>
      </w:r>
    </w:p>
    <w:p w14:paraId="7DCBC291" w14:textId="4A5F3728" w:rsidR="00FC53A5" w:rsidRPr="00FC53A5" w:rsidRDefault="00FC53A5" w:rsidP="00C05C14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sporządzenie sumarycznego zestawienia obszarów obliczeniowych i bilansowych wskaźników jednostkowych w oparciu o dane BDR GUS wraz z ich zapisem</w:t>
      </w:r>
      <w:r w:rsidR="00EB7F63">
        <w:rPr>
          <w:rFonts w:eastAsia="Palatino Linotype" w:cstheme="minorHAnsi"/>
          <w:lang w:eastAsia="pl-PL"/>
        </w:rPr>
        <w:t xml:space="preserve"> </w:t>
      </w:r>
      <w:r w:rsidRPr="00FC53A5">
        <w:rPr>
          <w:rFonts w:eastAsia="Palatino Linotype" w:cstheme="minorHAnsi"/>
          <w:lang w:eastAsia="pl-PL"/>
        </w:rPr>
        <w:t>na warstwach cyfrowych;</w:t>
      </w:r>
    </w:p>
    <w:p w14:paraId="0CF43375" w14:textId="77777777" w:rsidR="00FC53A5" w:rsidRPr="00FC53A5" w:rsidRDefault="00FC53A5" w:rsidP="00C05C14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sporządzenie cyfrowych warstw wraz z wartościami wskaźników jednostkowych</w:t>
      </w:r>
    </w:p>
    <w:p w14:paraId="0F66CFDF" w14:textId="4B561818" w:rsidR="00FC53A5" w:rsidRPr="00FC53A5" w:rsidRDefault="00FC53A5" w:rsidP="00C05C14">
      <w:pPr>
        <w:spacing w:after="120"/>
        <w:ind w:left="714"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 xml:space="preserve">w gminach dla obszarów obliczeniowych oraz obszarów bilansowych i sporządzenie map tematycznych obrazujących stężenie zanieczyszczeń azotem i fosforem ze źródeł rozproszonych dla obszarów obliczeniowych i bilansowych </w:t>
      </w:r>
      <w:r w:rsidR="00AF0CC1">
        <w:rPr>
          <w:rFonts w:eastAsia="Palatino Linotype" w:cstheme="minorHAnsi"/>
          <w:lang w:eastAsia="pl-PL"/>
        </w:rPr>
        <w:t>z</w:t>
      </w:r>
      <w:r w:rsidRPr="00FC53A5">
        <w:rPr>
          <w:rFonts w:eastAsia="Palatino Linotype" w:cstheme="minorHAnsi"/>
          <w:lang w:eastAsia="pl-PL"/>
        </w:rPr>
        <w:t xml:space="preserve"> uwzględnieniem obowiązującego podziału terytorialnego kraju.</w:t>
      </w:r>
    </w:p>
    <w:p w14:paraId="7641529C" w14:textId="7D63E330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Wykonawca </w:t>
      </w:r>
      <w:r w:rsidRPr="00FC53A5">
        <w:rPr>
          <w:rFonts w:eastAsia="Times New Roman" w:cstheme="minorHAnsi"/>
          <w:lang w:eastAsia="pl-PL"/>
        </w:rPr>
        <w:t xml:space="preserve">przygotuje i skalibruje modele matematyczne do komputerowego przetwarzania danych dotyczących bilansowania zanieczyszczeń ze źródeł rozproszonych zgodnie z modelami dla wybranych punktów pomiarowo-kontrolnych zamykających obszary zlewni tj. zależności pomiędzy ładunkiem ze źródeł punktowych, ładunkiem ze źródeł rozproszonych i transgranicznych, stratami naturalnymi ładunku tła i retencją, ze szczególnym uwzględnieniem bilansu azotu i fosforu ze źródeł rolniczych oraz obszarów leśnych, a także sporządzi techniczną, relacyjną bazę danych dla danych wymaganych do wykonania PLC-7. Wykonawca sprawdzi i przetestuje bazę danych w oparciu o wstępne dane </w:t>
      </w:r>
      <w:r w:rsidR="00EB7F63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o punktowych i obszarowych źródłach zanieczyszczeń w układzie województw oraz dorzeczy </w:t>
      </w:r>
      <w:r w:rsidR="00EB7F63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z uwzględnieniem wymagań HELCOM. </w:t>
      </w:r>
    </w:p>
    <w:p w14:paraId="430B1824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Zadanie 3. Opracowanie rocznego raportu PLC za rok 2018 według wymagań HELCOM na formularzach przekazanych przez Zleceniodawcę, z wykorzystaniem danych PMŚ, IMGW – PIB, dla Wisły, Odry, rzek Przymorza i pozostałych dorzeczy znajdujących się na obszarze działania RZGW Białystok oraz danych przekazanych przez marszałków oraz oczyszczalnie o punktowych zrzutach zanieczyszczeń odprowadzanych bezpośrednio do morza. Zapewnienie konsultacji dla HELCOM</w:t>
      </w:r>
      <w:r w:rsidRPr="00FC53A5">
        <w:rPr>
          <w:rFonts w:eastAsia="Times New Roman" w:cstheme="minorHAnsi"/>
          <w:b/>
          <w:lang w:eastAsia="pl-PL"/>
        </w:rPr>
        <w:br/>
        <w:t>w zakresie MAI/CART</w:t>
      </w:r>
    </w:p>
    <w:p w14:paraId="1BAA0575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Wykonawca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sporządzi w oparciu o wytyczne HELCOM i doświadczenia krajowe, program prac </w:t>
      </w:r>
      <w:r w:rsidRPr="00FC53A5">
        <w:rPr>
          <w:rFonts w:eastAsia="Times New Roman" w:cstheme="minorHAnsi"/>
          <w:lang w:eastAsia="pl-PL"/>
        </w:rPr>
        <w:br/>
        <w:t xml:space="preserve">i instrukcje wykonawcze głownie dla oczyszczalni ścieków, oczyszczalni przemysłowych, akwakultur, </w:t>
      </w:r>
      <w:r w:rsidRPr="00FC53A5">
        <w:rPr>
          <w:rFonts w:eastAsia="Times New Roman" w:cstheme="minorHAnsi"/>
          <w:lang w:eastAsia="pl-PL"/>
        </w:rPr>
        <w:br/>
        <w:t>w celu sprawniejszego i pozyskiwania niezbędnych danych. Na bazie zebranych danych przedstawi roczny raport PLC dla roku 2018.</w:t>
      </w:r>
    </w:p>
    <w:p w14:paraId="64A00DF4" w14:textId="7D588942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lastRenderedPageBreak/>
        <w:t>W ramach tego zadania Wykonawca zapewni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za pośrednictwem PGW WP bieżącą współpracę </w:t>
      </w:r>
      <w:r w:rsidR="00EB7F63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z konsultantami HELCOM oraz grupą roboczą HELCOM PLC. Dostarczy niezbędnych informacji, interpretacji naukowej oraz brakujących danych (w wersji polsko i anglojęzycznej) w zakresie danych oraz metodologii PLC na potrzeby realizacji PLC-6 oraz rewizji celów Bałtyckiego Planu Działań – alokacji krajowych celów redukcyjnych. Wykonawca zapewni reprezentantom Polski niezbędne informacje potrzebne do sfinalizowania projektu PLC-6 tj. sprawdzi „podejrzane dane”, w razie potrzeby zapewni nowe dane w ramach pracy grupy roboczej HELCOM PLC, w wymaganym przez grupę formacie. Wszelkie projekty odpowiedzi do HELCOM będą kierowane przez Wykonawcę do PGW WP, a następnie po akceptacji do Sekretariatu HELCOM.</w:t>
      </w:r>
    </w:p>
    <w:p w14:paraId="6B44292C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Wykonawca zagwarantuje również udział członka zespołu wykonawczego w spotkaniach grupy HELCOM PLC, który zapewni wsparcie merytoryczne dla krajowego reprezentanta grupy. Koszty podróży, wyżywienia, noclegu zostaną pokryte przez Wykonawcę.</w:t>
      </w:r>
    </w:p>
    <w:p w14:paraId="2001CF2B" w14:textId="77777777" w:rsid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4C6671D0" w14:textId="77777777" w:rsidR="00FC53A5" w:rsidRPr="00FC53A5" w:rsidRDefault="00FC53A5" w:rsidP="00C05C14">
      <w:pPr>
        <w:tabs>
          <w:tab w:val="num" w:pos="0"/>
        </w:tabs>
        <w:spacing w:before="120" w:after="120"/>
        <w:jc w:val="both"/>
        <w:rPr>
          <w:rFonts w:eastAsia="Times New Roman" w:cstheme="minorHAnsi"/>
          <w:b/>
          <w:u w:val="single"/>
          <w:lang w:eastAsia="pl-PL"/>
        </w:rPr>
      </w:pPr>
      <w:r w:rsidRPr="00FC53A5">
        <w:rPr>
          <w:rFonts w:eastAsia="Batang" w:cstheme="minorHAnsi"/>
          <w:b/>
          <w:lang w:eastAsia="pl-PL"/>
        </w:rPr>
        <w:t xml:space="preserve">ETAP II – opracowanie bilansu PLC-7 dla dorzeczy Odry, Wisły, rzek Przymorza </w:t>
      </w:r>
      <w:r w:rsidRPr="00FC53A5">
        <w:rPr>
          <w:rFonts w:eastAsia="Batang" w:cstheme="minorHAnsi"/>
          <w:b/>
          <w:lang w:eastAsia="pl-PL"/>
        </w:rPr>
        <w:br/>
        <w:t>i pozostałych dorzeczy znajdujących się na obszarze działania RZGW Warszawa i RZGW Białystok oraz zrzutów bezpośrednich, z uwzględnieniem udziału poszczególnych kategorii źródeł zanieczyszczeń; opracowanie bilansu ładunków zanieczyszczeń za rok 2018 r.</w:t>
      </w:r>
    </w:p>
    <w:p w14:paraId="11291554" w14:textId="62FBC75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Zadanie 4. </w:t>
      </w:r>
      <w:r w:rsidRPr="00FC53A5">
        <w:rPr>
          <w:rFonts w:eastAsia="Times New Roman" w:cstheme="minorHAnsi"/>
          <w:lang w:eastAsia="pl-PL"/>
        </w:rPr>
        <w:t xml:space="preserve">Sporządzenie bilansu zanieczyszczeń PLC-7 dla dorzecza Odry, dorzecza Wisły, Przymorza oraz pozostałych dorzeczy znajdujących się na obszarze działania RZGW Białystok z uwzględnieniem wskazanych kategorii zanieczyszczeń. Przekazanie arkuszy PLC-7 wraz z analizą porównawczą na poziomie danych źródłowych i interpretacją </w:t>
      </w:r>
      <w:proofErr w:type="spellStart"/>
      <w:r w:rsidRPr="00FC53A5">
        <w:rPr>
          <w:rFonts w:eastAsia="Times New Roman" w:cstheme="minorHAnsi"/>
          <w:lang w:eastAsia="pl-PL"/>
        </w:rPr>
        <w:t>przyczynowo-skutkową</w:t>
      </w:r>
      <w:proofErr w:type="spellEnd"/>
      <w:r w:rsidRPr="00FC53A5">
        <w:rPr>
          <w:rFonts w:eastAsia="Times New Roman" w:cstheme="minorHAnsi"/>
          <w:lang w:eastAsia="pl-PL"/>
        </w:rPr>
        <w:t xml:space="preserve">. Sporządzenie raportu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z wykonanych prac.</w:t>
      </w:r>
    </w:p>
    <w:p w14:paraId="7023E60B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  <w:r w:rsidRPr="00FC53A5">
        <w:rPr>
          <w:rFonts w:eastAsia="Times New Roman" w:cstheme="minorHAnsi"/>
          <w:lang w:eastAsia="pl-PL"/>
        </w:rPr>
        <w:t>Wykonawca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>w ramach niniejszego zadania</w:t>
      </w:r>
      <w:r w:rsidRPr="00FC53A5">
        <w:rPr>
          <w:rFonts w:eastAsia="Times New Roman" w:cstheme="minorHAnsi"/>
          <w:b/>
          <w:lang w:eastAsia="pl-PL"/>
        </w:rPr>
        <w:t xml:space="preserve">: </w:t>
      </w:r>
    </w:p>
    <w:p w14:paraId="2C3D2C7B" w14:textId="48969134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1. </w:t>
      </w:r>
      <w:r w:rsidRPr="00FC53A5">
        <w:rPr>
          <w:rFonts w:eastAsia="Times New Roman" w:cstheme="minorHAnsi"/>
          <w:lang w:eastAsia="pl-PL"/>
        </w:rPr>
        <w:t>Zbierze oraz dokona weryfikacji danych o punktowych źródłach zanieczyszczeń</w:t>
      </w:r>
      <w:r w:rsidRPr="00FC53A5">
        <w:rPr>
          <w:rFonts w:eastAsia="Times New Roman" w:cstheme="minorHAnsi"/>
          <w:lang w:eastAsia="pl-PL"/>
        </w:rPr>
        <w:br/>
        <w:t>za 2017 rok, w formularzach bazodanowych, w oparciu o wymagania przewodnika do PLC. Rejestracja danych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za 2017 rok o rozproszonych, punktowych i transgranicznych źródłach zanieczyszczeń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w układzie województw i dorzeczy w bazie danych, będzie zgodna z wymaganiami HELCOM. </w:t>
      </w:r>
    </w:p>
    <w:p w14:paraId="41E04785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2. </w:t>
      </w:r>
      <w:r w:rsidRPr="00FC53A5">
        <w:rPr>
          <w:rFonts w:eastAsia="Times New Roman" w:cstheme="minorHAnsi"/>
          <w:lang w:eastAsia="pl-PL"/>
        </w:rPr>
        <w:t xml:space="preserve">Opracuje warstwy cyfrowe zawierające lokalizację punktowych źródeł zanieczyszczeń </w:t>
      </w:r>
      <w:r w:rsidRPr="00FC53A5">
        <w:rPr>
          <w:rFonts w:eastAsia="Times New Roman" w:cstheme="minorHAnsi"/>
          <w:lang w:eastAsia="pl-PL"/>
        </w:rPr>
        <w:br/>
        <w:t>w zlewniach obliczeniowych i bilansowych.</w:t>
      </w:r>
    </w:p>
    <w:p w14:paraId="5424952D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3. </w:t>
      </w:r>
      <w:r w:rsidRPr="00FC53A5">
        <w:rPr>
          <w:rFonts w:eastAsia="Times New Roman" w:cstheme="minorHAnsi"/>
          <w:lang w:eastAsia="pl-PL"/>
        </w:rPr>
        <w:t>Opracuje warstwy cyfrowe obejmującej lokalizację punktów pomiarowo-kontrolnych zamykających zlewnie obliczeniowe, zawierającej informację o:</w:t>
      </w:r>
    </w:p>
    <w:p w14:paraId="1A7BD3B7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dorzecza;</w:t>
      </w:r>
    </w:p>
    <w:p w14:paraId="1B75CA55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regionu wodnego;</w:t>
      </w:r>
    </w:p>
    <w:p w14:paraId="10DFD0DC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jednolitej części wód;</w:t>
      </w:r>
    </w:p>
    <w:p w14:paraId="755C4150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rzeki;</w:t>
      </w:r>
    </w:p>
    <w:p w14:paraId="6F429F82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kilometrażu rzeki;</w:t>
      </w:r>
    </w:p>
    <w:p w14:paraId="69EE2B65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kodzie JCW;</w:t>
      </w:r>
    </w:p>
    <w:p w14:paraId="7103B48E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kodzie punktu pomiarowo-kontrolnego;</w:t>
      </w:r>
    </w:p>
    <w:p w14:paraId="363296E2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punktu pomiarowo-kontrolnego;</w:t>
      </w:r>
    </w:p>
    <w:p w14:paraId="4DD33A23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współrzędnych geograficznych;</w:t>
      </w:r>
    </w:p>
    <w:p w14:paraId="3B6A28FB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lastRenderedPageBreak/>
        <w:t>nazwie gminy;</w:t>
      </w:r>
    </w:p>
    <w:p w14:paraId="72B2FDF9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województwa;</w:t>
      </w:r>
    </w:p>
    <w:p w14:paraId="57C61CA9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WIOŚ;</w:t>
      </w:r>
    </w:p>
    <w:p w14:paraId="66466C1D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nazwie RZGW;</w:t>
      </w:r>
    </w:p>
    <w:p w14:paraId="36AE83E1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zlewni bilansowej;</w:t>
      </w:r>
    </w:p>
    <w:p w14:paraId="6006256E" w14:textId="77777777" w:rsidR="00FC53A5" w:rsidRPr="00FC53A5" w:rsidRDefault="00FC53A5" w:rsidP="00C05C14">
      <w:pPr>
        <w:numPr>
          <w:ilvl w:val="0"/>
          <w:numId w:val="16"/>
        </w:numPr>
        <w:spacing w:after="160"/>
        <w:ind w:left="714" w:hanging="357"/>
        <w:contextualSpacing/>
        <w:jc w:val="both"/>
        <w:rPr>
          <w:rFonts w:eastAsia="Palatino Linotype" w:cstheme="minorHAnsi"/>
          <w:lang w:eastAsia="pl-PL"/>
        </w:rPr>
      </w:pPr>
      <w:r w:rsidRPr="00FC53A5">
        <w:rPr>
          <w:rFonts w:eastAsia="Palatino Linotype" w:cstheme="minorHAnsi"/>
          <w:lang w:eastAsia="pl-PL"/>
        </w:rPr>
        <w:t>zlewni obliczeniowej.</w:t>
      </w:r>
    </w:p>
    <w:p w14:paraId="66D6CCDE" w14:textId="534D44D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4. </w:t>
      </w:r>
      <w:r w:rsidRPr="00FC53A5">
        <w:rPr>
          <w:rFonts w:eastAsia="Times New Roman" w:cstheme="minorHAnsi"/>
          <w:lang w:eastAsia="pl-PL"/>
        </w:rPr>
        <w:t>Zbierze dane o stężeniach zanieczyszczeń w zlewniach obliczeniowych z Państwowego Monitoringu Środowiska.</w:t>
      </w:r>
    </w:p>
    <w:p w14:paraId="597E4DAB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5. </w:t>
      </w:r>
      <w:r w:rsidRPr="00FC53A5">
        <w:rPr>
          <w:rFonts w:eastAsia="Times New Roman" w:cstheme="minorHAnsi"/>
          <w:lang w:eastAsia="pl-PL"/>
        </w:rPr>
        <w:t xml:space="preserve">Zbierze dane o wielkości przepływów i odpływów za </w:t>
      </w:r>
      <w:r w:rsidRPr="005F487F">
        <w:rPr>
          <w:rFonts w:eastAsia="Times New Roman" w:cstheme="minorHAnsi"/>
          <w:lang w:eastAsia="pl-PL"/>
        </w:rPr>
        <w:t>lata 2017-2019</w:t>
      </w:r>
      <w:r w:rsidRPr="00FC53A5">
        <w:rPr>
          <w:rFonts w:eastAsia="Times New Roman" w:cstheme="minorHAnsi"/>
          <w:lang w:eastAsia="pl-PL"/>
        </w:rPr>
        <w:t xml:space="preserve"> w wyznaczonych punktach pomiarowo-kontrolnych z Państwowej Służby Hydrologiczno-Meteorologicznej IMGW - PIB.</w:t>
      </w:r>
    </w:p>
    <w:p w14:paraId="5D767DF9" w14:textId="61FA6A2D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6. </w:t>
      </w:r>
      <w:r w:rsidRPr="00FC53A5">
        <w:rPr>
          <w:rFonts w:eastAsia="Times New Roman" w:cstheme="minorHAnsi"/>
          <w:lang w:eastAsia="pl-PL"/>
        </w:rPr>
        <w:t xml:space="preserve">Sporządzi obliczenia ładunków zanieczyszczeń trafiających rzekami do Morza Bałtyckiego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z obszarów monitorowanych oraz oszacuje wielkości ładunków ze zlewni rzek niemonitorowanych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i zlewni transgranicznych.</w:t>
      </w:r>
    </w:p>
    <w:p w14:paraId="25CBA608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7. </w:t>
      </w:r>
      <w:r w:rsidRPr="00FC53A5">
        <w:rPr>
          <w:rFonts w:eastAsia="Times New Roman" w:cstheme="minorHAnsi"/>
          <w:lang w:eastAsia="pl-PL"/>
        </w:rPr>
        <w:t>Sporządzi cyfrowe warstwy wektorowej zawierającej informacje o ustalonych obszarach obliczeniowych i bilansowych na potrzeby obliczenia ładunków biogenów trafiających rzekami do Morza Bałtyckiego.</w:t>
      </w:r>
    </w:p>
    <w:p w14:paraId="10AD3BF4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8. </w:t>
      </w:r>
      <w:r w:rsidRPr="00FC53A5">
        <w:rPr>
          <w:rFonts w:eastAsia="Times New Roman" w:cstheme="minorHAnsi"/>
          <w:lang w:eastAsia="pl-PL"/>
        </w:rPr>
        <w:t>Sporządzi bilans ładunków zanieczyszczeń emitowanych ze źródeł punktowych.</w:t>
      </w:r>
    </w:p>
    <w:p w14:paraId="60E1B836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9. </w:t>
      </w:r>
      <w:r w:rsidRPr="00FC53A5">
        <w:rPr>
          <w:rFonts w:eastAsia="Times New Roman" w:cstheme="minorHAnsi"/>
          <w:lang w:eastAsia="pl-PL"/>
        </w:rPr>
        <w:t>Sporządzi bilans ładunków ze źródeł rozproszonych: rolnictwo, depozycja atmosferyczna na śródlądowe wody powierzchniowe, rozproszona zabudowa mieszkalna, obszary leśne, trwałe nieużytki i tereny o zagospodarowaniu zbliżonym do naturalnego, zrzuty wód deszczowych, przelewy burzowe.</w:t>
      </w:r>
    </w:p>
    <w:p w14:paraId="4E64CEC7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10. </w:t>
      </w:r>
      <w:r w:rsidRPr="00FC53A5">
        <w:rPr>
          <w:rFonts w:eastAsia="Times New Roman" w:cstheme="minorHAnsi"/>
          <w:lang w:eastAsia="pl-PL"/>
        </w:rPr>
        <w:t>Sporządzi bilans zanieczyszczeń trafiających do Morza Bałtyckiego bezpośrednio ze źródeł punktowych oraz rzekami.</w:t>
      </w:r>
    </w:p>
    <w:p w14:paraId="0C5D75FF" w14:textId="5C4962F1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11.</w:t>
      </w:r>
      <w:r w:rsidRPr="00FC53A5">
        <w:rPr>
          <w:rFonts w:eastAsia="Times New Roman" w:cstheme="minorHAnsi"/>
          <w:lang w:eastAsia="pl-PL"/>
        </w:rPr>
        <w:t xml:space="preserve"> Sporządzi bilans zanieczyszczeń z uwzględnieniem obszarów RZGW, regionów wodnych, dorzeczy </w:t>
      </w:r>
      <w:r w:rsidR="00FD72A9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i województw.</w:t>
      </w:r>
    </w:p>
    <w:p w14:paraId="788478F9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12. </w:t>
      </w:r>
      <w:r w:rsidRPr="00FC53A5">
        <w:rPr>
          <w:rFonts w:eastAsia="Times New Roman" w:cstheme="minorHAnsi"/>
          <w:lang w:eastAsia="pl-PL"/>
        </w:rPr>
        <w:t>Oszacuje wielkość retencji rzecznej z uwzględnieniem wymagań przewodnika do PLC.</w:t>
      </w:r>
    </w:p>
    <w:p w14:paraId="0D21D149" w14:textId="5024D001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13. </w:t>
      </w:r>
      <w:r w:rsidRPr="00FC53A5">
        <w:rPr>
          <w:rFonts w:eastAsia="Times New Roman" w:cstheme="minorHAnsi"/>
          <w:lang w:eastAsia="pl-PL"/>
        </w:rPr>
        <w:t>Dokona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>podziału ładunku azotu i fosforu całkowitego, pochodzenia rzecznego</w:t>
      </w:r>
      <w:r w:rsidR="00C05C14">
        <w:rPr>
          <w:rFonts w:eastAsia="Times New Roman" w:cstheme="minorHAnsi"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>ze względu na źródło.</w:t>
      </w:r>
    </w:p>
    <w:p w14:paraId="6566957D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14.</w:t>
      </w:r>
      <w:r w:rsidRPr="00FC53A5">
        <w:rPr>
          <w:rFonts w:eastAsia="Times New Roman" w:cstheme="minorHAnsi"/>
          <w:lang w:eastAsia="pl-PL"/>
        </w:rPr>
        <w:t xml:space="preserve"> Wprowadzi dane do arkuszy raportowych zapewnionych przez Wody Polskie i grupę roboczą HELCOM PLC, zgodnych z bieżącymi wymaganiami HELCOM.</w:t>
      </w:r>
    </w:p>
    <w:p w14:paraId="2B81D08D" w14:textId="4EB04B66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15.</w:t>
      </w:r>
      <w:r w:rsidRPr="00FC53A5">
        <w:rPr>
          <w:rFonts w:eastAsia="Times New Roman" w:cstheme="minorHAnsi"/>
          <w:lang w:eastAsia="pl-PL"/>
        </w:rPr>
        <w:t xml:space="preserve"> Sporządzi sprawozdania z przeprowadzonych analiz i obserwacji, w zakresie długofalowych zmian w ilości zanieczyszczeń trafiających do Morza Bałtyckiego</w:t>
      </w:r>
      <w:r w:rsidR="00FD72A9">
        <w:rPr>
          <w:rFonts w:eastAsia="Times New Roman" w:cstheme="minorHAnsi"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z różnych źródeł, w kontekście wyników prac PLC-6, PLC-5 i PLC-4 oraz corocznych raportów dot. wielkości ładunków zanieczyszczeń odpływających do Bałtyku z obszaru Polski – sprawozdanie w języku polskim i angielskim. </w:t>
      </w:r>
    </w:p>
    <w:p w14:paraId="2E2A7988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16</w:t>
      </w:r>
      <w:r w:rsidRPr="00FC53A5">
        <w:rPr>
          <w:rFonts w:eastAsia="Times New Roman" w:cstheme="minorHAnsi"/>
          <w:lang w:eastAsia="pl-PL"/>
        </w:rPr>
        <w:t>. Sporządzi zestawienia danych dotyczących efektywności działań na rzecz redukcji ilości biogenów trafiających do Bałtyku oraz wszelkich potencjalnych działań w celu przyszłej redukcji – opracowanie w języku polskim i angielskim.</w:t>
      </w:r>
    </w:p>
    <w:p w14:paraId="2E8514BF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lastRenderedPageBreak/>
        <w:t>17.</w:t>
      </w:r>
      <w:r w:rsidRPr="00FC53A5">
        <w:rPr>
          <w:rFonts w:eastAsia="Times New Roman" w:cstheme="minorHAnsi"/>
          <w:lang w:eastAsia="pl-PL"/>
        </w:rPr>
        <w:t xml:space="preserve"> Sporządzi sprawozdania w języku polskim i angielskim z wykonanych prac na poziomie zastosowanych metodyk różnych od zalecanych przez HELCOM.</w:t>
      </w:r>
    </w:p>
    <w:p w14:paraId="4279C205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18. </w:t>
      </w:r>
      <w:r w:rsidRPr="00FC53A5">
        <w:rPr>
          <w:rFonts w:eastAsia="Times New Roman" w:cstheme="minorHAnsi"/>
          <w:lang w:eastAsia="pl-PL"/>
        </w:rPr>
        <w:t>Opracuje zestawienia dodatkowych informacji w języku polskim</w:t>
      </w:r>
      <w:r w:rsidRPr="00FC53A5">
        <w:rPr>
          <w:rFonts w:eastAsia="Times New Roman" w:cstheme="minorHAnsi"/>
          <w:lang w:eastAsia="pl-PL"/>
        </w:rPr>
        <w:br/>
        <w:t>i angielskim służących do określenia specyficznych warunków dla kraju m.in. dane rolnicze, rozproszona zabudowa mieszkalna, populacja, w ramach bieżących prac i wymagań grupy HELCOM PLC.</w:t>
      </w:r>
    </w:p>
    <w:p w14:paraId="54152377" w14:textId="3ADD019E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19.</w:t>
      </w:r>
      <w:r w:rsidRPr="00FC53A5">
        <w:rPr>
          <w:rFonts w:eastAsia="Times New Roman" w:cstheme="minorHAnsi"/>
          <w:lang w:eastAsia="pl-PL"/>
        </w:rPr>
        <w:t xml:space="preserve"> Opracuje zestawienia danych o warunkach panujących na Wiśle i Odrze wraz z analizą </w:t>
      </w:r>
      <w:proofErr w:type="spellStart"/>
      <w:r w:rsidRPr="00FC53A5">
        <w:rPr>
          <w:rFonts w:eastAsia="Times New Roman" w:cstheme="minorHAnsi"/>
          <w:lang w:eastAsia="pl-PL"/>
        </w:rPr>
        <w:t>przyczynowo-skutkową</w:t>
      </w:r>
      <w:proofErr w:type="spellEnd"/>
      <w:r w:rsidRPr="00FC53A5">
        <w:rPr>
          <w:rFonts w:eastAsia="Times New Roman" w:cstheme="minorHAnsi"/>
          <w:lang w:eastAsia="pl-PL"/>
        </w:rPr>
        <w:t xml:space="preserve"> w kontekście ilości biogenów odpływających</w:t>
      </w:r>
      <w:r w:rsidR="00B56F81">
        <w:rPr>
          <w:rFonts w:eastAsia="Times New Roman" w:cstheme="minorHAnsi"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do Bałtyku – sprawozdanie </w:t>
      </w:r>
      <w:r w:rsidR="00B56F81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w języku polskim i angielskim.</w:t>
      </w:r>
    </w:p>
    <w:p w14:paraId="49FE6A6A" w14:textId="06659E0E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20.</w:t>
      </w:r>
      <w:r w:rsidRPr="00FC53A5">
        <w:rPr>
          <w:rFonts w:eastAsia="Times New Roman" w:cstheme="minorHAnsi"/>
          <w:lang w:eastAsia="pl-PL"/>
        </w:rPr>
        <w:t xml:space="preserve"> Opracuje cyfrowe warstwy prezentujące obszary bilansowe monitoringu biogenów zgodnie </w:t>
      </w:r>
      <w:r w:rsidR="00FD72A9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z wymaganiami HELCOM. </w:t>
      </w:r>
    </w:p>
    <w:p w14:paraId="40454AB6" w14:textId="77777777" w:rsidR="00FC53A5" w:rsidRPr="00FC53A5" w:rsidRDefault="00FC53A5" w:rsidP="00C05C14">
      <w:pPr>
        <w:spacing w:after="16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>21.</w:t>
      </w:r>
      <w:r w:rsidRPr="00FC53A5">
        <w:rPr>
          <w:rFonts w:eastAsia="Times New Roman" w:cstheme="minorHAnsi"/>
          <w:lang w:eastAsia="pl-PL"/>
        </w:rPr>
        <w:t xml:space="preserve"> Sporządzi krajowy raport z prac w ramach PLC-7.</w:t>
      </w:r>
    </w:p>
    <w:p w14:paraId="3D4FF8AA" w14:textId="659A9750" w:rsidR="00FC53A5" w:rsidRP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  <w:r w:rsidRPr="00FC53A5">
        <w:rPr>
          <w:rFonts w:eastAsia="Times New Roman" w:cstheme="minorHAnsi"/>
          <w:b/>
          <w:lang w:eastAsia="pl-PL"/>
        </w:rPr>
        <w:t xml:space="preserve">Zadanie 5. Opracowanie rocznego raportu PLC za rok 2018 według wymagań HELCOM na formularzach przekazanych przez Zleceniodawcę, z wykorzystaniem danych PMŚ, IMGW – PIB, dla Wisły, Odry, rzek Przymorza i pozostałych dorzeczy znajdujących się na obszarze działania RZGW Białystok oraz danych przekazanych przez marszałków oraz oczyszczalnie o punktowych zrzutach zanieczyszczeń odprowadzanych bezpośrednio do morza. Zapewnienie konsultacji dla HELCOM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b/>
          <w:lang w:eastAsia="pl-PL"/>
        </w:rPr>
        <w:t>w zakresie MAI/CART.</w:t>
      </w:r>
    </w:p>
    <w:p w14:paraId="400375B6" w14:textId="1FB84413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Wykonawca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sporządzi w oparciu o wytyczne HELCOM i doświadczenia krajowe, program prac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 xml:space="preserve">i instrukcje wykonawcze głownie dla oczyszczalni ścieków, oczyszczalni przemysłowych, akwakultur, </w:t>
      </w:r>
      <w:r w:rsidR="001465E4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w celu sprawniejszego i pozyskiwania niezbędnych danych. Na bazie zebranych danych przedstawi roczny raport PLC dla roku 2018.</w:t>
      </w:r>
    </w:p>
    <w:p w14:paraId="5FC7ACCB" w14:textId="5D16A281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 ramach tego zadania Wykonawca zapewni</w:t>
      </w:r>
      <w:r w:rsidRPr="00FC53A5">
        <w:rPr>
          <w:rFonts w:eastAsia="Times New Roman" w:cstheme="minorHAnsi"/>
          <w:b/>
          <w:lang w:eastAsia="pl-PL"/>
        </w:rPr>
        <w:t xml:space="preserve"> </w:t>
      </w:r>
      <w:r w:rsidRPr="00FC53A5">
        <w:rPr>
          <w:rFonts w:eastAsia="Times New Roman" w:cstheme="minorHAnsi"/>
          <w:lang w:eastAsia="pl-PL"/>
        </w:rPr>
        <w:t xml:space="preserve">za pośrednictwem PGW WP bieżącą współpracę </w:t>
      </w:r>
      <w:r w:rsidR="00EB7F63">
        <w:rPr>
          <w:rFonts w:eastAsia="Times New Roman" w:cstheme="minorHAnsi"/>
          <w:lang w:eastAsia="pl-PL"/>
        </w:rPr>
        <w:br/>
      </w:r>
      <w:r w:rsidRPr="00FC53A5">
        <w:rPr>
          <w:rFonts w:eastAsia="Times New Roman" w:cstheme="minorHAnsi"/>
          <w:lang w:eastAsia="pl-PL"/>
        </w:rPr>
        <w:t>z konsultantami HELCOM oraz grupą roboczą HELCOM PLC. Dostarczy niezbędnych informacji, interpretacji naukowej oraz brakujących danych (w wersji polsko i anglojęzycznej) w zakresie danych oraz metodologii PLC na potrzeby realizacji PLC-7 oraz rewizji celów Bałtyckiego Planu Działań – alokacji krajowych celów redukcyjnych. Wykonawca zapewni reprezentantom Polski niezbędne informacje potrzebne do sfinalizowania projektu PLC-7 tj. sprawdzi „podejrzane dane”, w razie potrzeby zapewni nowe dane w ramach pracy grupy roboczej HELCOM PLC, w wymaganym przez grupę formacie. Korespondencja krajowych przedstawicieli grupy HELCOM PLC będzie kierowana do Wykonawcy w trybie „do wiadomości”. Wszelkie projekty odpowiedzi do HELCOM będą kierowane przez Wykonawcę do PGW WP, a następnie po akceptacji do Sekretariatu HELCOM.</w:t>
      </w:r>
    </w:p>
    <w:p w14:paraId="0A3CD43F" w14:textId="77777777" w:rsidR="00FC53A5" w:rsidRPr="00FC53A5" w:rsidRDefault="00FC53A5" w:rsidP="00C05C14">
      <w:pPr>
        <w:spacing w:after="120"/>
        <w:jc w:val="both"/>
        <w:rPr>
          <w:rFonts w:eastAsia="Times New Roman" w:cstheme="minorHAnsi"/>
          <w:lang w:eastAsia="pl-PL"/>
        </w:rPr>
      </w:pPr>
      <w:r w:rsidRPr="00FC53A5">
        <w:rPr>
          <w:rFonts w:eastAsia="Times New Roman" w:cstheme="minorHAnsi"/>
          <w:lang w:eastAsia="pl-PL"/>
        </w:rPr>
        <w:t>Wykonawca zagwarantuje również udział członka zespołu wykonawczego w spotkaniach grupy HELCOM PLC, który zapewni wsparcie merytoryczne dla krajowego reprezentanta grupy. Koszty podróży, wyżywienia, noclegu zostaną pokryte przez Wykonawcę.</w:t>
      </w:r>
    </w:p>
    <w:p w14:paraId="32A19328" w14:textId="20E6EC99" w:rsidR="00FC53A5" w:rsidRDefault="00FC53A5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560F6B71" w14:textId="2899C14B" w:rsidR="00135156" w:rsidRDefault="00135156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2D991BA9" w14:textId="65C6EBD3" w:rsidR="00135156" w:rsidRDefault="00135156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1B51D7CB" w14:textId="77777777" w:rsidR="00135156" w:rsidRDefault="00135156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</w:p>
    <w:p w14:paraId="60DEB00C" w14:textId="0075649D" w:rsidR="00B9660D" w:rsidRPr="00B9660D" w:rsidRDefault="00B9660D" w:rsidP="00C05C14">
      <w:pPr>
        <w:spacing w:after="120"/>
        <w:jc w:val="both"/>
        <w:rPr>
          <w:rFonts w:eastAsia="Times New Roman" w:cstheme="minorHAnsi"/>
          <w:b/>
          <w:lang w:eastAsia="pl-PL"/>
        </w:rPr>
      </w:pPr>
      <w:r w:rsidRPr="00B9660D">
        <w:rPr>
          <w:rFonts w:eastAsia="Times New Roman" w:cstheme="minorHAnsi"/>
          <w:b/>
          <w:lang w:eastAsia="pl-PL"/>
        </w:rPr>
        <w:lastRenderedPageBreak/>
        <w:t>Produkty zamówienia:</w:t>
      </w:r>
    </w:p>
    <w:p w14:paraId="73301C71" w14:textId="74FCC57F" w:rsidR="00250BA7" w:rsidRDefault="00B9660D" w:rsidP="00C05C14">
      <w:p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ETAP I</w:t>
      </w:r>
    </w:p>
    <w:p w14:paraId="0CA56895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Zestawienie kategorii danych i ich zakresu, wraz z propozycją źródeł i sposobu pozyskania;</w:t>
      </w:r>
    </w:p>
    <w:p w14:paraId="40A9D4ED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Procedura realizacji pracy;</w:t>
      </w:r>
    </w:p>
    <w:p w14:paraId="7A9A5ACF" w14:textId="14B3674C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Propozycja rozwiązań w zakresie sposobu gromadzenia, weryfikacji, rejestracji i przetwarzania danych;</w:t>
      </w:r>
    </w:p>
    <w:p w14:paraId="0E9AA007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Zaktualizowany zestaw zlewni bilansowych i obliczeniowych;</w:t>
      </w:r>
    </w:p>
    <w:p w14:paraId="5CF9E483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Formularze do gromadzenia danych o punktowych źródłach zanieczyszczeń</w:t>
      </w:r>
    </w:p>
    <w:p w14:paraId="79C069BA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Raport roczny bilansu ładunków zanieczyszczeń PLC za rok 2018;</w:t>
      </w:r>
    </w:p>
    <w:p w14:paraId="65A4F33D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Korespondencja wraz z opiniami eksperckimi w wersji polskiej i angielskiej dokumentów grupy roboczej HELCOM PLC oraz produktów projektu PLC-6;</w:t>
      </w:r>
    </w:p>
    <w:p w14:paraId="04144FF1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Formularze zweryfikowanych danych za lata 1994-2017;</w:t>
      </w:r>
    </w:p>
    <w:p w14:paraId="5FD81DE9" w14:textId="13523578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Zaktualizowana metodyka bilansowania zanieczyszczeń ze źródeł punktowych i obszarowych oraz metod statystycznych służących do opracowywania bilansu ładunków zanieczyszczeń i rewizji celów MAI/CART;</w:t>
      </w:r>
    </w:p>
    <w:p w14:paraId="01005235" w14:textId="77777777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Projekt technicznej bazy danych wraz z jej aplikacją do gromadzenia danych PLC;</w:t>
      </w:r>
    </w:p>
    <w:p w14:paraId="20317EAB" w14:textId="3B2AA145" w:rsidR="00851BF3" w:rsidRPr="00851BF3" w:rsidRDefault="00851BF3" w:rsidP="00C05C14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Sprawozdanie etapowe zawierające opis prac zrealizowanych w etapie I</w:t>
      </w:r>
    </w:p>
    <w:p w14:paraId="17B99EA2" w14:textId="03E9482E" w:rsidR="00B9660D" w:rsidRPr="00851BF3" w:rsidRDefault="00851BF3" w:rsidP="00C05C14">
      <w:pPr>
        <w:spacing w:after="120"/>
        <w:jc w:val="both"/>
        <w:rPr>
          <w:rFonts w:cstheme="minorHAnsi"/>
        </w:rPr>
      </w:pPr>
      <w:r w:rsidRPr="00851BF3">
        <w:rPr>
          <w:rFonts w:cstheme="minorHAnsi"/>
        </w:rPr>
        <w:t>ETAP II</w:t>
      </w:r>
    </w:p>
    <w:p w14:paraId="699AE9C2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Bilans PLC-7 dla dorzecza Wisły, dorzecza Odry, Przymorza oraz pozostałych dorzeczy znajdujących się na obszarze działania RZGW Warszawa, z uwzględnieniem poszczególnych kategorii źródeł zanieczyszczeń;</w:t>
      </w:r>
    </w:p>
    <w:p w14:paraId="770697FB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Baza danych o punktowych i rozproszonych źródłach zanieczyszczeń;</w:t>
      </w:r>
    </w:p>
    <w:p w14:paraId="53017696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Raport roczny bilansu ładunków zanieczyszczeń PLC za rok 2018;</w:t>
      </w:r>
    </w:p>
    <w:p w14:paraId="7A2F42D0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Wypełniony formularz raportowy HELCOM PLC-7, zgodny z wymaganiami HELCOM;</w:t>
      </w:r>
    </w:p>
    <w:p w14:paraId="02231C1A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Analiza porównawcza na poziomie danych źródłowych z lat 1994-2017,</w:t>
      </w:r>
      <w:r>
        <w:rPr>
          <w:rFonts w:cstheme="minorHAnsi"/>
        </w:rPr>
        <w:t xml:space="preserve"> </w:t>
      </w:r>
      <w:r w:rsidRPr="00B9660D">
        <w:rPr>
          <w:rFonts w:cstheme="minorHAnsi"/>
        </w:rPr>
        <w:t xml:space="preserve">wraz z interpretacja </w:t>
      </w:r>
      <w:proofErr w:type="spellStart"/>
      <w:r w:rsidRPr="00B9660D">
        <w:rPr>
          <w:rFonts w:cstheme="minorHAnsi"/>
        </w:rPr>
        <w:t>przyczynowo-skutkową</w:t>
      </w:r>
      <w:proofErr w:type="spellEnd"/>
      <w:r w:rsidRPr="00B9660D">
        <w:rPr>
          <w:rFonts w:cstheme="minorHAnsi"/>
        </w:rPr>
        <w:t xml:space="preserve"> zachodzących zmian;</w:t>
      </w:r>
    </w:p>
    <w:p w14:paraId="17F9D2B6" w14:textId="77777777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Sprawozdanie etapowe zawierające opis prac zrealizowanych w Etapie II</w:t>
      </w:r>
    </w:p>
    <w:p w14:paraId="66154B9C" w14:textId="42D5D8B2" w:rsidR="00851BF3" w:rsidRPr="00B9660D" w:rsidRDefault="00851BF3" w:rsidP="00C05C14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B9660D">
        <w:rPr>
          <w:rFonts w:cstheme="minorHAnsi"/>
        </w:rPr>
        <w:t>Synteza pracy</w:t>
      </w:r>
    </w:p>
    <w:p w14:paraId="26060A30" w14:textId="50C1AB07" w:rsidR="00ED3A19" w:rsidRPr="003E53EE" w:rsidRDefault="00ED3A19" w:rsidP="00C05C14">
      <w:pPr>
        <w:spacing w:after="120"/>
        <w:jc w:val="both"/>
        <w:rPr>
          <w:rFonts w:cstheme="minorHAnsi"/>
          <w:b/>
        </w:rPr>
      </w:pPr>
      <w:r w:rsidRPr="003E53EE">
        <w:rPr>
          <w:rFonts w:cstheme="minorHAnsi"/>
          <w:b/>
        </w:rPr>
        <w:t>Gwarancja i usługa asysty</w:t>
      </w:r>
    </w:p>
    <w:p w14:paraId="3FA9A59A" w14:textId="77777777" w:rsidR="00D271A8" w:rsidRPr="003E53EE" w:rsidRDefault="00D271A8" w:rsidP="00C05C14">
      <w:pPr>
        <w:spacing w:after="120"/>
        <w:jc w:val="both"/>
        <w:rPr>
          <w:rFonts w:cstheme="minorHAnsi"/>
        </w:rPr>
      </w:pPr>
      <w:r w:rsidRPr="003E53EE">
        <w:rPr>
          <w:rFonts w:cstheme="minorHAnsi"/>
        </w:rPr>
        <w:t xml:space="preserve">Wykonawca udzieli gwarancji od dnia odbioru pracy do 30 czerwca 2022 r. W ramach gwarancji Wykonawca usunie ewentualne błędy ujawnione w tym okresie oraz podejmie się wykonania prac mających na celu zminimalizowanie konsekwencji tych błędów. </w:t>
      </w:r>
    </w:p>
    <w:p w14:paraId="6A42CBE6" w14:textId="3C0FA7D0" w:rsidR="00D271A8" w:rsidRPr="003E53EE" w:rsidRDefault="00D271A8" w:rsidP="00C05C14">
      <w:pPr>
        <w:spacing w:after="0"/>
        <w:jc w:val="both"/>
        <w:rPr>
          <w:rFonts w:cstheme="minorHAnsi"/>
        </w:rPr>
      </w:pPr>
      <w:r w:rsidRPr="003E53EE">
        <w:rPr>
          <w:rFonts w:cstheme="minorHAnsi"/>
        </w:rPr>
        <w:t xml:space="preserve">Dodatkowo, Wykonawca zapewni usługę asysty merytoryczno-technicznej obejmującej </w:t>
      </w:r>
      <w:r w:rsidR="008A47A6" w:rsidRPr="003E53EE">
        <w:rPr>
          <w:rFonts w:eastAsia="Batang" w:cstheme="minorHAnsi"/>
          <w:b/>
          <w:lang w:eastAsia="pl-PL"/>
        </w:rPr>
        <w:br/>
      </w:r>
      <w:r w:rsidRPr="003E53EE">
        <w:rPr>
          <w:rFonts w:cstheme="minorHAnsi"/>
        </w:rPr>
        <w:t xml:space="preserve">w szczególności: </w:t>
      </w:r>
    </w:p>
    <w:p w14:paraId="1F953749" w14:textId="45359251" w:rsidR="00D271A8" w:rsidRPr="003E53EE" w:rsidRDefault="00D271A8" w:rsidP="00C05C14">
      <w:pPr>
        <w:spacing w:after="0"/>
        <w:ind w:left="426" w:hanging="142"/>
        <w:jc w:val="both"/>
        <w:rPr>
          <w:rFonts w:cstheme="minorHAnsi"/>
        </w:rPr>
      </w:pPr>
      <w:r w:rsidRPr="003E53EE">
        <w:rPr>
          <w:rFonts w:cstheme="minorHAnsi"/>
        </w:rPr>
        <w:t xml:space="preserve">- wsparcie merytoryczne Zamawiającego przy opracowywaniu drugiej aktualizacji planów gospodarowania wodami na obszarach dorzeczy i zestawu działań koniecznych do realizacji celów środowiskowych (planowane </w:t>
      </w:r>
      <w:r w:rsidR="00206649" w:rsidRPr="003E53EE">
        <w:rPr>
          <w:rFonts w:cstheme="minorHAnsi"/>
        </w:rPr>
        <w:t xml:space="preserve">przyjęcie </w:t>
      </w:r>
      <w:r w:rsidRPr="003E53EE">
        <w:rPr>
          <w:rFonts w:cstheme="minorHAnsi"/>
        </w:rPr>
        <w:t>zaktualizowanych planów w 2021 r.);</w:t>
      </w:r>
    </w:p>
    <w:p w14:paraId="57DB0ECF" w14:textId="42B99FEA" w:rsidR="00D271A8" w:rsidRPr="003E53EE" w:rsidRDefault="00D271A8" w:rsidP="00C05C14">
      <w:pPr>
        <w:spacing w:after="0"/>
        <w:ind w:left="426" w:hanging="142"/>
        <w:jc w:val="both"/>
        <w:rPr>
          <w:rFonts w:cstheme="minorHAnsi"/>
        </w:rPr>
      </w:pPr>
      <w:r w:rsidRPr="003E53EE">
        <w:rPr>
          <w:rFonts w:cstheme="minorHAnsi"/>
        </w:rPr>
        <w:t>- wsparci</w:t>
      </w:r>
      <w:r w:rsidR="000C5740" w:rsidRPr="003E53EE">
        <w:rPr>
          <w:rFonts w:cstheme="minorHAnsi"/>
        </w:rPr>
        <w:t>e</w:t>
      </w:r>
      <w:r w:rsidRPr="003E53EE">
        <w:rPr>
          <w:rFonts w:cstheme="minorHAnsi"/>
        </w:rPr>
        <w:t xml:space="preserve"> merytoryczne w przypadku spotkań Zamawiającego z </w:t>
      </w:r>
      <w:r w:rsidR="008B22DE" w:rsidRPr="003E53EE">
        <w:rPr>
          <w:rFonts w:cstheme="minorHAnsi"/>
        </w:rPr>
        <w:t>Grupą Roboczą PLC-IG</w:t>
      </w:r>
      <w:r w:rsidRPr="003E53EE">
        <w:rPr>
          <w:rFonts w:cstheme="minorHAnsi"/>
        </w:rPr>
        <w:t xml:space="preserve"> dotyczących wyników pracy oraz przyjętych rozwiązań; </w:t>
      </w:r>
    </w:p>
    <w:p w14:paraId="09D3F4BE" w14:textId="77777777" w:rsidR="00D271A8" w:rsidRPr="003E53EE" w:rsidRDefault="00D271A8" w:rsidP="00C05C14">
      <w:pPr>
        <w:spacing w:after="0"/>
        <w:ind w:left="426" w:hanging="142"/>
        <w:jc w:val="both"/>
        <w:rPr>
          <w:rFonts w:cstheme="minorHAnsi"/>
        </w:rPr>
      </w:pPr>
      <w:r w:rsidRPr="003E53EE">
        <w:rPr>
          <w:rFonts w:cstheme="minorHAnsi"/>
        </w:rPr>
        <w:t>- wsparcie merytoryczne Zamawiającego w odpowiedzi na korespondencję w sprawie zadań realizowanych w ramach umowy</w:t>
      </w:r>
      <w:r w:rsidR="00131479" w:rsidRPr="003E53EE">
        <w:rPr>
          <w:rFonts w:cstheme="minorHAnsi"/>
        </w:rPr>
        <w:t>;</w:t>
      </w:r>
    </w:p>
    <w:p w14:paraId="2360D2D3" w14:textId="77777777" w:rsidR="00131479" w:rsidRPr="003E53EE" w:rsidRDefault="00131479" w:rsidP="00C05C14">
      <w:pPr>
        <w:spacing w:after="0"/>
        <w:ind w:left="426" w:hanging="142"/>
        <w:jc w:val="both"/>
        <w:rPr>
          <w:rFonts w:cstheme="minorHAnsi"/>
        </w:rPr>
      </w:pPr>
      <w:r w:rsidRPr="003E53EE">
        <w:rPr>
          <w:rFonts w:cstheme="minorHAnsi"/>
        </w:rPr>
        <w:lastRenderedPageBreak/>
        <w:t>- wsparcie merytoryczne Zamawiającego w przygotowaniu Aktualizacji Planu gospodarowania wodami dla Międzynarodowego Obszaru Dorzecza Odry.</w:t>
      </w:r>
    </w:p>
    <w:p w14:paraId="5484AC29" w14:textId="77777777" w:rsidR="00131479" w:rsidRPr="00250BA7" w:rsidRDefault="00131479" w:rsidP="00C05C14">
      <w:pPr>
        <w:spacing w:after="0"/>
        <w:jc w:val="both"/>
        <w:rPr>
          <w:rFonts w:cstheme="minorHAnsi"/>
          <w:highlight w:val="yellow"/>
        </w:rPr>
      </w:pPr>
    </w:p>
    <w:p w14:paraId="798B9BE6" w14:textId="758AD332" w:rsidR="00ED3A19" w:rsidRPr="00D80AC4" w:rsidRDefault="00ED3A19" w:rsidP="00C05C14">
      <w:pPr>
        <w:spacing w:after="120"/>
        <w:jc w:val="both"/>
        <w:rPr>
          <w:rFonts w:cstheme="minorHAnsi"/>
          <w:b/>
        </w:rPr>
      </w:pPr>
      <w:r w:rsidRPr="00D80AC4">
        <w:rPr>
          <w:rFonts w:cstheme="minorHAnsi"/>
          <w:b/>
        </w:rPr>
        <w:t>Monitorowanie postępu realizacji zamówienia</w:t>
      </w:r>
    </w:p>
    <w:p w14:paraId="6DEC4BC2" w14:textId="77777777" w:rsidR="00250BA7" w:rsidRPr="00250BA7" w:rsidRDefault="00250BA7" w:rsidP="00C05C14">
      <w:pPr>
        <w:widowControl w:val="0"/>
        <w:numPr>
          <w:ilvl w:val="0"/>
          <w:numId w:val="1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 xml:space="preserve">Postęp realizacji zamówienia będzie monitorowany przez Zamawiającego począwszy od dnia podpisania umowy. Wykonawca w sprawozdaniach sporządzanych co dwa miesiące przedstawiał będzie Zamawiającemu informacje o pracach realizowanych w danym okresie sprawozdawczym, jak również pozyskanych danych, zdiagnozowanych problemach i podjętych działaniach w celu </w:t>
      </w:r>
      <w:r w:rsidRPr="00250BA7">
        <w:rPr>
          <w:rFonts w:eastAsia="Calibri" w:cstheme="minorHAnsi"/>
          <w:color w:val="000000"/>
        </w:rPr>
        <w:br/>
        <w:t>ich rozwiązania. Sprawozdania będą sporządzane na szablonie, który przekaże Zamawiający. Sprawozdania muszą być podpisane przez Wykonawcę (Kierownika projektu po stronie Wykonawcy).</w:t>
      </w:r>
    </w:p>
    <w:p w14:paraId="1D235401" w14:textId="77777777" w:rsidR="00250BA7" w:rsidRPr="00250BA7" w:rsidRDefault="00250BA7" w:rsidP="00C05C14">
      <w:pPr>
        <w:widowControl w:val="0"/>
        <w:numPr>
          <w:ilvl w:val="0"/>
          <w:numId w:val="1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 xml:space="preserve">Sprawozdanie dwumiesięczne, o którym mowa w ust. 1 Wykonawca przygotuje i przekaże Zamawiającemu do 5 roboczego dnia miesiąca następującego po okresie, którego dotyczy (dwa miesiące kalendarzowe, za wyjątkiem pierwszego i ostatniego sprawozdania). Zakres czasowy pierwszego i ostatniego sprawozdania zostanie uzgodniony z Zamawiającym, jednak nie będzie </w:t>
      </w:r>
      <w:r w:rsidRPr="00250BA7">
        <w:rPr>
          <w:rFonts w:eastAsia="Calibri" w:cstheme="minorHAnsi"/>
          <w:color w:val="000000"/>
        </w:rPr>
        <w:br/>
        <w:t>on krótszy niż 1 miesiąc i dłuższy niż 3 miesiące. Opcjonalnie, na wniosek Zamawiającego, Wykonawca przedstawi sprawozdanie opisujące postęp w realizacji zadań z całego zakresu zamówienia.</w:t>
      </w:r>
    </w:p>
    <w:p w14:paraId="6F5A6E05" w14:textId="6F7D39BD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</w:rPr>
      </w:pPr>
      <w:r w:rsidRPr="00250BA7">
        <w:rPr>
          <w:rFonts w:eastAsia="Calibri" w:cstheme="minorHAnsi"/>
        </w:rPr>
        <w:t xml:space="preserve">Wykonawca będzie przygotowywał zadania w sposób przyrostowy, tzn. realizacja zadań i podzadań prowadzona będzie w powtarzalnych, krótkich krokach o stałej długości (maksymalnie trwających </w:t>
      </w:r>
      <w:r w:rsidR="008A47A6">
        <w:rPr>
          <w:rFonts w:eastAsia="Batang" w:cstheme="minorHAnsi"/>
          <w:b/>
          <w:lang w:eastAsia="pl-PL"/>
        </w:rPr>
        <w:br/>
      </w:r>
      <w:r w:rsidRPr="00250BA7">
        <w:rPr>
          <w:rFonts w:eastAsia="Calibri" w:cstheme="minorHAnsi"/>
        </w:rPr>
        <w:t xml:space="preserve">1 miesiąc). Długość kroków powinna zostać dopasowana do charakteru zadań i podzadań </w:t>
      </w:r>
      <w:r w:rsidRPr="00250BA7">
        <w:rPr>
          <w:rFonts w:eastAsia="Calibri" w:cstheme="minorHAnsi"/>
          <w:color w:val="000000"/>
        </w:rPr>
        <w:br/>
      </w:r>
      <w:r w:rsidRPr="00250BA7">
        <w:rPr>
          <w:rFonts w:eastAsia="Calibri" w:cstheme="minorHAnsi"/>
        </w:rPr>
        <w:t>przez Wykonawcę. Efektem pojedynczego kroku powinny być drobne, działające i skończone zadania, podzadania lub mniejsza część produktu. Wszystkie efekty poszczególnych kroków powinny zostać uzgodnienie z Zamawiającym oraz Grupą roboczą.</w:t>
      </w:r>
    </w:p>
    <w:p w14:paraId="7B3BB6D7" w14:textId="77777777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</w:rPr>
      </w:pPr>
      <w:r w:rsidRPr="00250BA7">
        <w:rPr>
          <w:rFonts w:eastAsia="Calibri" w:cstheme="minorHAnsi"/>
        </w:rPr>
        <w:t>Wyklucza się dostarczenie całego etapu – wszystkich zadań i podzadań w jednym terminie.</w:t>
      </w:r>
    </w:p>
    <w:p w14:paraId="3CE24E37" w14:textId="670E13A5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 xml:space="preserve">Na prośbę Zamawiającego, Wykonawca doprecyzuje informacje zawarte w przygotowanych sprawozdaniach. Sprawozdania przekazywane będą </w:t>
      </w:r>
      <w:r w:rsidRPr="003E53EE">
        <w:rPr>
          <w:rFonts w:eastAsia="Calibri" w:cstheme="minorHAnsi"/>
          <w:color w:val="000000"/>
        </w:rPr>
        <w:t xml:space="preserve">członkom </w:t>
      </w:r>
      <w:r w:rsidR="003E53EE" w:rsidRPr="003E53EE">
        <w:rPr>
          <w:rFonts w:eastAsia="Calibri" w:cstheme="minorHAnsi"/>
          <w:color w:val="000000"/>
        </w:rPr>
        <w:t>Zespołu Monitorującego</w:t>
      </w:r>
      <w:r w:rsidRPr="003E53EE">
        <w:rPr>
          <w:rFonts w:eastAsia="Calibri" w:cstheme="minorHAnsi"/>
          <w:color w:val="000000"/>
        </w:rPr>
        <w:t>.</w:t>
      </w:r>
    </w:p>
    <w:p w14:paraId="50DF746A" w14:textId="77777777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>Na prośbę Zamawiającego Wykonawca przygotuje, w ciągu 7 dni roboczych od przekazania wniosku przez Zamawiającego, sprawozdanie na zadany temat dotyczący realizacji zamówienia. Zamawiający zakłada nie więcej niż 3 tego typu sprawozdania w trakcie realizacji pracy.</w:t>
      </w:r>
    </w:p>
    <w:p w14:paraId="2781D795" w14:textId="77777777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>W celu oceny jakości i stopnia zaawansowania prac, Zamawiającemu przysługuje prawo żądania (na każdym etapie pracy) natychmiastowego przekazania aktualnych wersji roboczych dokumentów, zestawień, baz danych itp. opracowywanych przez Wykonawcę w ramach niniejszego zamówienia.</w:t>
      </w:r>
    </w:p>
    <w:p w14:paraId="3B383723" w14:textId="77777777" w:rsidR="00250BA7" w:rsidRPr="00250BA7" w:rsidRDefault="00250BA7" w:rsidP="00C05C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27" w:hanging="227"/>
        <w:jc w:val="both"/>
        <w:rPr>
          <w:rFonts w:eastAsia="Calibri" w:cstheme="minorHAnsi"/>
          <w:color w:val="000000"/>
        </w:rPr>
      </w:pPr>
      <w:r w:rsidRPr="00250BA7">
        <w:rPr>
          <w:rFonts w:eastAsia="Calibri" w:cstheme="minorHAnsi"/>
          <w:color w:val="000000"/>
        </w:rPr>
        <w:t xml:space="preserve">W przypadku stwierdzenia opóźnień w realizacji Produktu/Produktów, mogących mieć wpływ </w:t>
      </w:r>
      <w:r w:rsidRPr="00250BA7">
        <w:rPr>
          <w:rFonts w:eastAsia="Calibri" w:cstheme="minorHAnsi"/>
          <w:color w:val="000000"/>
        </w:rPr>
        <w:br/>
        <w:t xml:space="preserve">na terminowe opracowanie całości pracy/Etapu, Wykonawca zobowiązany będzie </w:t>
      </w:r>
      <w:r w:rsidRPr="00250BA7">
        <w:rPr>
          <w:rFonts w:eastAsia="Calibri" w:cstheme="minorHAnsi"/>
          <w:color w:val="000000"/>
        </w:rPr>
        <w:br/>
        <w:t>do zintensyfikowania prowadzonych prac i przygotowania planu naprawczego.</w:t>
      </w:r>
    </w:p>
    <w:p w14:paraId="76A8028B" w14:textId="77777777" w:rsidR="00250BA7" w:rsidRPr="00250BA7" w:rsidRDefault="00250BA7" w:rsidP="00C05C14">
      <w:pPr>
        <w:spacing w:before="120" w:after="120"/>
        <w:jc w:val="both"/>
        <w:rPr>
          <w:rFonts w:eastAsia="Times New Roman" w:cstheme="minorHAnsi"/>
          <w:i/>
          <w:lang w:eastAsia="pl-PL"/>
        </w:rPr>
      </w:pPr>
    </w:p>
    <w:p w14:paraId="327D2112" w14:textId="5EA669C7" w:rsidR="00D271A8" w:rsidRDefault="00D271A8" w:rsidP="00C05C14">
      <w:pPr>
        <w:spacing w:after="120"/>
        <w:jc w:val="both"/>
        <w:rPr>
          <w:rFonts w:cstheme="minorHAnsi"/>
          <w:highlight w:val="yellow"/>
        </w:rPr>
      </w:pPr>
    </w:p>
    <w:p w14:paraId="3134D4A8" w14:textId="77777777" w:rsidR="00D902B7" w:rsidRPr="00250BA7" w:rsidRDefault="00D902B7" w:rsidP="00C05C14">
      <w:pPr>
        <w:spacing w:after="120"/>
        <w:jc w:val="both"/>
        <w:rPr>
          <w:rFonts w:cstheme="minorHAnsi"/>
          <w:highlight w:val="yellow"/>
        </w:rPr>
      </w:pPr>
      <w:bookmarkStart w:id="0" w:name="_GoBack"/>
      <w:bookmarkEnd w:id="0"/>
    </w:p>
    <w:p w14:paraId="056A75C0" w14:textId="77777777" w:rsidR="00D271A8" w:rsidRPr="00D80AC4" w:rsidRDefault="00D271A8" w:rsidP="00C05C14">
      <w:pPr>
        <w:spacing w:after="120"/>
        <w:jc w:val="both"/>
        <w:rPr>
          <w:rFonts w:cstheme="minorHAnsi"/>
          <w:u w:val="single"/>
        </w:rPr>
      </w:pPr>
      <w:r w:rsidRPr="00D80AC4">
        <w:rPr>
          <w:rFonts w:cstheme="minorHAnsi"/>
          <w:u w:val="single"/>
        </w:rPr>
        <w:lastRenderedPageBreak/>
        <w:t>W trakcie realizacji pracy muszą zostać wykorzystane co najmniej następujące materiały:</w:t>
      </w:r>
    </w:p>
    <w:p w14:paraId="1322C605" w14:textId="03EB2BC5" w:rsidR="00250BA7" w:rsidRPr="00D80AC4" w:rsidRDefault="00691635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U</w:t>
      </w:r>
      <w:r w:rsidR="00250BA7" w:rsidRPr="00D80AC4">
        <w:rPr>
          <w:rFonts w:ascii="Calibri" w:hAnsi="Calibri" w:cs="Calibri"/>
          <w:lang w:eastAsia="zh-CN"/>
        </w:rPr>
        <w:t xml:space="preserve">stawę Prawo wodne z dnia 20 lipca 2017 r. (Dz.U. 2018 poz. 2268, ze zm.) </w:t>
      </w:r>
      <w:r w:rsidR="00250BA7" w:rsidRPr="00D80AC4">
        <w:rPr>
          <w:rFonts w:ascii="Calibri" w:hAnsi="Calibri" w:cs="Calibri"/>
          <w:lang w:eastAsia="zh-CN"/>
        </w:rPr>
        <w:br/>
        <w:t>wraz z aktami wykonawczymi,</w:t>
      </w:r>
    </w:p>
    <w:p w14:paraId="35D45867" w14:textId="6FFAE3A7" w:rsidR="00250BA7" w:rsidRPr="00D80AC4" w:rsidRDefault="00D271A8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D80AC4">
        <w:rPr>
          <w:rFonts w:cstheme="minorHAnsi"/>
        </w:rPr>
        <w:t>„</w:t>
      </w:r>
      <w:bookmarkStart w:id="1" w:name="_Hlk4755179"/>
      <w:r w:rsidR="00250BA7" w:rsidRPr="00D80AC4">
        <w:rPr>
          <w:rFonts w:ascii="Calibri" w:hAnsi="Calibri" w:cs="Calibri"/>
          <w:lang w:eastAsia="zh-CN"/>
        </w:rPr>
        <w:t xml:space="preserve">Aktualizacja wykazu JCWP i SCWP dla potrzeb kolejnej aktualizacji planów w latach </w:t>
      </w:r>
      <w:r w:rsidR="00250BA7" w:rsidRPr="00D80AC4">
        <w:rPr>
          <w:rFonts w:ascii="Calibri" w:hAnsi="Calibri" w:cs="Calibri"/>
          <w:lang w:eastAsia="zh-CN"/>
        </w:rPr>
        <w:br/>
        <w:t xml:space="preserve">2015-2021 wraz z weryfikacją typów wód części wód” oraz </w:t>
      </w:r>
      <w:r w:rsidR="00250BA7" w:rsidRPr="00D80AC4">
        <w:rPr>
          <w:rFonts w:ascii="Calibri" w:eastAsia="Calibri" w:hAnsi="Calibri" w:cs="Times New Roman"/>
        </w:rPr>
        <w:t>„Analiza i aktualizacja jednostek do planowania z uwzględnieniem MPHP10”</w:t>
      </w:r>
      <w:r w:rsidR="00250BA7" w:rsidRPr="00D80AC4">
        <w:rPr>
          <w:rFonts w:ascii="Calibri" w:hAnsi="Calibri" w:cs="Calibri"/>
          <w:lang w:eastAsia="zh-CN"/>
        </w:rPr>
        <w:t>;</w:t>
      </w:r>
    </w:p>
    <w:p w14:paraId="2E502B61" w14:textId="13247B1E" w:rsidR="00250BA7" w:rsidRPr="00D80AC4" w:rsidRDefault="00691635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„</w:t>
      </w:r>
      <w:r w:rsidR="00250BA7" w:rsidRPr="00D80AC4">
        <w:rPr>
          <w:rFonts w:ascii="Calibri" w:hAnsi="Calibri" w:cs="Calibri"/>
          <w:lang w:eastAsia="zh-CN"/>
        </w:rPr>
        <w:t>Analiza i aktualizacja jednostek do planowania z uwzględnieniem MPHP10”;</w:t>
      </w:r>
    </w:p>
    <w:p w14:paraId="549CF869" w14:textId="0AD2129E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bookmarkStart w:id="2" w:name="_Hlk536775214"/>
      <w:r w:rsidRPr="00D80AC4">
        <w:rPr>
          <w:rFonts w:ascii="Calibri" w:eastAsia="Calibri" w:hAnsi="Calibri" w:cs="Calibri"/>
        </w:rPr>
        <w:t>Dane monitoringowe GIOŚ</w:t>
      </w:r>
      <w:bookmarkEnd w:id="2"/>
      <w:r w:rsidRPr="00E4235B">
        <w:rPr>
          <w:rFonts w:ascii="Calibri" w:hAnsi="Calibri" w:cs="Calibri"/>
          <w:lang w:eastAsia="zh-CN"/>
        </w:rPr>
        <w:t>;</w:t>
      </w:r>
    </w:p>
    <w:p w14:paraId="24F2BB9F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>„Aktualizacja planów gospodarowania wodami na obszarach dorzeczy w Polsce”,</w:t>
      </w:r>
    </w:p>
    <w:p w14:paraId="0F1496AF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 xml:space="preserve">„Identyfikacja presji w regionach wodnych i na obszarach dorzeczy” Część I: Utworzenie krajowej bazy danych o zmianach </w:t>
      </w:r>
      <w:proofErr w:type="spellStart"/>
      <w:r w:rsidRPr="00E4235B">
        <w:rPr>
          <w:rFonts w:ascii="Calibri" w:hAnsi="Calibri" w:cs="Calibri"/>
          <w:lang w:eastAsia="zh-CN"/>
        </w:rPr>
        <w:t>hydromorfologicznych</w:t>
      </w:r>
      <w:proofErr w:type="spellEnd"/>
      <w:r w:rsidRPr="00E4235B">
        <w:rPr>
          <w:rFonts w:ascii="Calibri" w:hAnsi="Calibri" w:cs="Calibri"/>
          <w:lang w:eastAsia="zh-CN"/>
        </w:rPr>
        <w:t xml:space="preserve"> oraz Część II: Opracowanie bazy danych o presjach antropogenicznych;</w:t>
      </w:r>
    </w:p>
    <w:p w14:paraId="23E57BD6" w14:textId="03F9437E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 xml:space="preserve">Pogłębiona analiza presji (wyniki działań wskazanych w </w:t>
      </w:r>
      <w:proofErr w:type="spellStart"/>
      <w:r w:rsidRPr="00E4235B">
        <w:rPr>
          <w:rFonts w:ascii="Calibri" w:hAnsi="Calibri" w:cs="Calibri"/>
          <w:lang w:eastAsia="zh-CN"/>
        </w:rPr>
        <w:t>aPWŚK</w:t>
      </w:r>
      <w:proofErr w:type="spellEnd"/>
      <w:r w:rsidRPr="00E4235B">
        <w:rPr>
          <w:rFonts w:ascii="Calibri" w:hAnsi="Calibri" w:cs="Calibri"/>
          <w:lang w:eastAsia="zh-CN"/>
        </w:rPr>
        <w:t xml:space="preserve">: Przeprowadzenie pogłębionej analizy presji w celu ustalenia przyczyn nieosiągnięcia dobrego stanu wód </w:t>
      </w:r>
      <w:r w:rsidRPr="00E4235B">
        <w:rPr>
          <w:rFonts w:ascii="Calibri" w:hAnsi="Calibri" w:cs="Calibri"/>
          <w:lang w:eastAsia="zh-CN"/>
        </w:rPr>
        <w:br/>
        <w:t xml:space="preserve">z uwagi na stan chemiczny; Przeprowadzenie pogłębionej analizy presji w celu ustalenia przyczyn nieosiągnięcia dobrego stanu wód z uwagi na stan fizyko-chemiczny; Przeprowadzenie pogłębionej analizy presji w celu zaplanowania działań ukierunkowanych na redukcję fosforu; Przeprowadzenie pogłębionej analizy presji w celu ustalenia przyczyn nieosiągnięcia dobrego stanu wód z uwagi na występowanie substancji biogennych dla tych JCWP, którym w </w:t>
      </w:r>
      <w:proofErr w:type="spellStart"/>
      <w:r w:rsidRPr="00E4235B">
        <w:rPr>
          <w:rFonts w:ascii="Calibri" w:hAnsi="Calibri" w:cs="Calibri"/>
          <w:lang w:eastAsia="zh-CN"/>
        </w:rPr>
        <w:t>aPWŚK</w:t>
      </w:r>
      <w:proofErr w:type="spellEnd"/>
      <w:r w:rsidRPr="00E4235B">
        <w:rPr>
          <w:rFonts w:ascii="Calibri" w:hAnsi="Calibri" w:cs="Calibri"/>
          <w:lang w:eastAsia="zh-CN"/>
        </w:rPr>
        <w:t xml:space="preserve"> przypisano działanie: prowadzenie monitoringu w zakresie badania substancji biogennych w przekrojach zlokalizowanych na wejściu i na zamknięciu JCWP </w:t>
      </w:r>
      <w:r w:rsidR="008A47A6">
        <w:rPr>
          <w:rFonts w:eastAsia="Batang" w:cstheme="minorHAnsi"/>
          <w:b/>
          <w:lang w:eastAsia="pl-PL"/>
        </w:rPr>
        <w:br/>
      </w:r>
      <w:r w:rsidRPr="00E4235B">
        <w:rPr>
          <w:rFonts w:ascii="Calibri" w:hAnsi="Calibri" w:cs="Calibri"/>
          <w:lang w:eastAsia="zh-CN"/>
        </w:rPr>
        <w:t>w okresie 2016 – 2017) – opracowania realizowane są przez poszczególne RZGW, a ich wyniki dostępne będą w różnych terminach;</w:t>
      </w:r>
    </w:p>
    <w:p w14:paraId="35CC866D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>„Opracowanie i przetestowanie wielowymiarowego, dynamicznego modelu obliczania ładunków zanieczyszczeń odprowadzanych rzekami do Morza Bałtyckiego”;</w:t>
      </w:r>
    </w:p>
    <w:p w14:paraId="024DDA98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 xml:space="preserve">Wyniki dla działania wskazanego w </w:t>
      </w:r>
      <w:proofErr w:type="spellStart"/>
      <w:r w:rsidRPr="00E4235B">
        <w:rPr>
          <w:rFonts w:ascii="Calibri" w:hAnsi="Calibri" w:cs="Calibri"/>
          <w:lang w:eastAsia="zh-CN"/>
        </w:rPr>
        <w:t>aPWŚK</w:t>
      </w:r>
      <w:proofErr w:type="spellEnd"/>
      <w:r w:rsidRPr="00E4235B">
        <w:rPr>
          <w:rFonts w:ascii="Calibri" w:hAnsi="Calibri" w:cs="Calibri"/>
          <w:lang w:eastAsia="zh-CN"/>
        </w:rPr>
        <w:t xml:space="preserve">: monitoring badawczy wód; </w:t>
      </w:r>
    </w:p>
    <w:p w14:paraId="7FC7A845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>Charakterystyki wód podziemnych opracowywanych przez PIG-PIB zgodnie z załącznikiem II.2 Ramowej Dyrektywy Wodnej – praca w trakcie realizacji;</w:t>
      </w:r>
    </w:p>
    <w:p w14:paraId="298F61F8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proofErr w:type="spellStart"/>
      <w:r w:rsidRPr="00E4235B">
        <w:rPr>
          <w:rFonts w:ascii="Calibri" w:hAnsi="Calibri" w:cs="Calibri"/>
          <w:lang w:eastAsia="zh-CN"/>
        </w:rPr>
        <w:t>Sixth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Baltic</w:t>
      </w:r>
      <w:proofErr w:type="spellEnd"/>
      <w:r w:rsidRPr="00E4235B">
        <w:rPr>
          <w:rFonts w:ascii="Calibri" w:hAnsi="Calibri" w:cs="Calibri"/>
          <w:lang w:eastAsia="zh-CN"/>
        </w:rPr>
        <w:t xml:space="preserve"> Sea </w:t>
      </w:r>
      <w:proofErr w:type="spellStart"/>
      <w:r w:rsidRPr="00E4235B">
        <w:rPr>
          <w:rFonts w:ascii="Calibri" w:hAnsi="Calibri" w:cs="Calibri"/>
          <w:lang w:eastAsia="zh-CN"/>
        </w:rPr>
        <w:t>Pollution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Load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Compilation</w:t>
      </w:r>
      <w:proofErr w:type="spellEnd"/>
      <w:r w:rsidRPr="00E4235B">
        <w:rPr>
          <w:rFonts w:ascii="Calibri" w:hAnsi="Calibri" w:cs="Calibri"/>
          <w:lang w:eastAsia="zh-CN"/>
        </w:rPr>
        <w:t>;</w:t>
      </w:r>
    </w:p>
    <w:p w14:paraId="7CAE3E15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contextualSpacing/>
        <w:jc w:val="both"/>
        <w:rPr>
          <w:rFonts w:ascii="Calibri" w:hAnsi="Calibri" w:cs="Calibri"/>
          <w:lang w:eastAsia="zh-CN"/>
        </w:rPr>
      </w:pPr>
      <w:proofErr w:type="spellStart"/>
      <w:r w:rsidRPr="00E4235B">
        <w:rPr>
          <w:rFonts w:ascii="Calibri" w:hAnsi="Calibri" w:cs="Calibri"/>
          <w:lang w:eastAsia="zh-CN"/>
        </w:rPr>
        <w:t>Seventh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Baltic</w:t>
      </w:r>
      <w:proofErr w:type="spellEnd"/>
      <w:r w:rsidRPr="00E4235B">
        <w:rPr>
          <w:rFonts w:ascii="Calibri" w:hAnsi="Calibri" w:cs="Calibri"/>
          <w:lang w:eastAsia="zh-CN"/>
        </w:rPr>
        <w:t xml:space="preserve"> Sea </w:t>
      </w:r>
      <w:proofErr w:type="spellStart"/>
      <w:r w:rsidRPr="00E4235B">
        <w:rPr>
          <w:rFonts w:ascii="Calibri" w:hAnsi="Calibri" w:cs="Calibri"/>
          <w:lang w:eastAsia="zh-CN"/>
        </w:rPr>
        <w:t>Pollution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Load</w:t>
      </w:r>
      <w:proofErr w:type="spellEnd"/>
      <w:r w:rsidRPr="00E4235B">
        <w:rPr>
          <w:rFonts w:ascii="Calibri" w:hAnsi="Calibri" w:cs="Calibri"/>
          <w:lang w:eastAsia="zh-CN"/>
        </w:rPr>
        <w:t xml:space="preserve"> </w:t>
      </w:r>
      <w:proofErr w:type="spellStart"/>
      <w:r w:rsidRPr="00E4235B">
        <w:rPr>
          <w:rFonts w:ascii="Calibri" w:hAnsi="Calibri" w:cs="Calibri"/>
          <w:lang w:eastAsia="zh-CN"/>
        </w:rPr>
        <w:t>Compilation</w:t>
      </w:r>
      <w:proofErr w:type="spellEnd"/>
      <w:r w:rsidRPr="00E4235B">
        <w:rPr>
          <w:rFonts w:ascii="Calibri" w:hAnsi="Calibri" w:cs="Calibri"/>
          <w:lang w:eastAsia="zh-CN"/>
        </w:rPr>
        <w:t>;</w:t>
      </w:r>
    </w:p>
    <w:p w14:paraId="4390A769" w14:textId="77777777" w:rsidR="00250BA7" w:rsidRPr="00E4235B" w:rsidRDefault="00250BA7" w:rsidP="00C05C14">
      <w:pPr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lang w:eastAsia="zh-CN"/>
        </w:rPr>
      </w:pPr>
      <w:r w:rsidRPr="00E4235B">
        <w:rPr>
          <w:rFonts w:ascii="Calibri" w:hAnsi="Calibri" w:cs="Calibri"/>
          <w:lang w:eastAsia="zh-CN"/>
        </w:rPr>
        <w:t xml:space="preserve">Inne </w:t>
      </w:r>
      <w:bookmarkStart w:id="3" w:name="_Hlk4755396"/>
      <w:r w:rsidRPr="00E4235B">
        <w:rPr>
          <w:rFonts w:ascii="Calibri" w:hAnsi="Calibri" w:cs="Calibri"/>
          <w:lang w:eastAsia="zh-CN"/>
        </w:rPr>
        <w:t>niezbędne materiały, stosownie do realizowanego zamówienia.</w:t>
      </w:r>
      <w:bookmarkEnd w:id="3"/>
    </w:p>
    <w:bookmarkEnd w:id="1"/>
    <w:p w14:paraId="38E5C211" w14:textId="22C334FB" w:rsidR="00D271A8" w:rsidRPr="00250BA7" w:rsidRDefault="00D271A8" w:rsidP="00C05C14">
      <w:pPr>
        <w:spacing w:after="120"/>
        <w:jc w:val="both"/>
        <w:rPr>
          <w:rFonts w:cstheme="minorHAnsi"/>
          <w:highlight w:val="yellow"/>
        </w:rPr>
      </w:pPr>
    </w:p>
    <w:p w14:paraId="6152CDCE" w14:textId="77777777" w:rsidR="00D9111F" w:rsidRPr="00250BA7" w:rsidRDefault="00D271A8" w:rsidP="00C05C14">
      <w:pPr>
        <w:spacing w:after="120"/>
        <w:jc w:val="both"/>
        <w:rPr>
          <w:rFonts w:cstheme="minorHAnsi"/>
        </w:rPr>
      </w:pPr>
      <w:r w:rsidRPr="00FF0093">
        <w:rPr>
          <w:rFonts w:cstheme="minorHAnsi"/>
        </w:rPr>
        <w:t>Zamawiający udzieli Wykonawcy wsparcia w pozyskiwaniu danych na potrzeby realizacji pracy od instytucji zewnętrznych. Wszelkie ewentualne koszty zakupu dodatkowych danych pokrywa Wykonawca.</w:t>
      </w:r>
    </w:p>
    <w:sectPr w:rsidR="00D9111F" w:rsidRPr="00250BA7" w:rsidSect="00D271A8">
      <w:headerReference w:type="default" r:id="rId8"/>
      <w:footerReference w:type="default" r:id="rId9"/>
      <w:pgSz w:w="11906" w:h="16838"/>
      <w:pgMar w:top="1383" w:right="1383" w:bottom="1383" w:left="138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37E8" w14:textId="77777777" w:rsidR="00A06A8E" w:rsidRDefault="00A06A8E" w:rsidP="00AF2738">
      <w:pPr>
        <w:spacing w:after="0" w:line="240" w:lineRule="auto"/>
      </w:pPr>
      <w:r>
        <w:separator/>
      </w:r>
    </w:p>
  </w:endnote>
  <w:endnote w:type="continuationSeparator" w:id="0">
    <w:p w14:paraId="743B6D69" w14:textId="77777777" w:rsidR="00A06A8E" w:rsidRDefault="00A06A8E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307570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32245FA9" w14:textId="77777777" w:rsidR="00F8693A" w:rsidRPr="00766BDE" w:rsidRDefault="00F8693A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766BDE">
          <w:rPr>
            <w:rFonts w:cs="Times New Roman"/>
            <w:sz w:val="20"/>
            <w:szCs w:val="20"/>
          </w:rPr>
          <w:fldChar w:fldCharType="begin"/>
        </w:r>
        <w:r w:rsidRPr="00766BDE">
          <w:rPr>
            <w:rFonts w:cs="Times New Roman"/>
            <w:sz w:val="20"/>
            <w:szCs w:val="20"/>
          </w:rPr>
          <w:instrText>PAGE   \* MERGEFORMAT</w:instrText>
        </w:r>
        <w:r w:rsidRPr="00766BDE">
          <w:rPr>
            <w:rFonts w:cs="Times New Roman"/>
            <w:sz w:val="20"/>
            <w:szCs w:val="20"/>
          </w:rPr>
          <w:fldChar w:fldCharType="separate"/>
        </w:r>
        <w:r w:rsidR="00AD3B6C" w:rsidRPr="00766BDE">
          <w:rPr>
            <w:rFonts w:cs="Times New Roman"/>
            <w:noProof/>
            <w:sz w:val="20"/>
            <w:szCs w:val="20"/>
          </w:rPr>
          <w:t>10</w:t>
        </w:r>
        <w:r w:rsidRPr="00766BDE">
          <w:rPr>
            <w:rFonts w:cs="Times New Roman"/>
            <w:sz w:val="20"/>
            <w:szCs w:val="20"/>
          </w:rPr>
          <w:fldChar w:fldCharType="end"/>
        </w:r>
      </w:p>
    </w:sdtContent>
  </w:sdt>
  <w:p w14:paraId="3876B5B4" w14:textId="77777777" w:rsidR="00F8693A" w:rsidRDefault="00F86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AA268" w14:textId="77777777" w:rsidR="00A06A8E" w:rsidRDefault="00A06A8E" w:rsidP="00AF2738">
      <w:pPr>
        <w:spacing w:after="0" w:line="240" w:lineRule="auto"/>
      </w:pPr>
      <w:r>
        <w:separator/>
      </w:r>
    </w:p>
  </w:footnote>
  <w:footnote w:type="continuationSeparator" w:id="0">
    <w:p w14:paraId="5699465E" w14:textId="77777777" w:rsidR="00A06A8E" w:rsidRDefault="00A06A8E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EC81" w14:textId="52A133E9" w:rsidR="009F0E4A" w:rsidRDefault="009F0E4A">
    <w:pPr>
      <w:pStyle w:val="Nagwek"/>
    </w:pPr>
    <w:r w:rsidRPr="00132670">
      <w:rPr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2EC76C2" wp14:editId="316D4D1A">
          <wp:simplePos x="0" y="0"/>
          <wp:positionH relativeFrom="column">
            <wp:posOffset>3810</wp:posOffset>
          </wp:positionH>
          <wp:positionV relativeFrom="paragraph">
            <wp:posOffset>-140438</wp:posOffset>
          </wp:positionV>
          <wp:extent cx="5710555" cy="710565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9F97E" w14:textId="0BF908EB" w:rsidR="009F0E4A" w:rsidRDefault="009F0E4A">
    <w:pPr>
      <w:pStyle w:val="Nagwek"/>
    </w:pPr>
  </w:p>
  <w:p w14:paraId="1581496F" w14:textId="755D9865" w:rsidR="009F0E4A" w:rsidRDefault="009F0E4A">
    <w:pPr>
      <w:pStyle w:val="Nagwek"/>
    </w:pPr>
  </w:p>
  <w:p w14:paraId="1D45CBB9" w14:textId="77777777" w:rsidR="009F0E4A" w:rsidRPr="009F0E4A" w:rsidRDefault="009F0E4A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428"/>
    <w:multiLevelType w:val="hybridMultilevel"/>
    <w:tmpl w:val="4424A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BCA"/>
    <w:multiLevelType w:val="hybridMultilevel"/>
    <w:tmpl w:val="BFF4746E"/>
    <w:lvl w:ilvl="0" w:tplc="E5F80F34">
      <w:start w:val="1"/>
      <w:numFmt w:val="bullet"/>
      <w:lvlText w:val=""/>
      <w:lvlJc w:val="left"/>
      <w:pPr>
        <w:ind w:left="108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115F4"/>
    <w:multiLevelType w:val="hybridMultilevel"/>
    <w:tmpl w:val="DEF2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7B97"/>
    <w:multiLevelType w:val="hybridMultilevel"/>
    <w:tmpl w:val="469A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418"/>
    <w:multiLevelType w:val="hybridMultilevel"/>
    <w:tmpl w:val="AEF0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1D24"/>
    <w:multiLevelType w:val="hybridMultilevel"/>
    <w:tmpl w:val="4E8E0A64"/>
    <w:lvl w:ilvl="0" w:tplc="E5F80F34">
      <w:start w:val="1"/>
      <w:numFmt w:val="bullet"/>
      <w:lvlText w:val=""/>
      <w:lvlJc w:val="left"/>
      <w:pPr>
        <w:ind w:left="72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E42"/>
    <w:multiLevelType w:val="hybridMultilevel"/>
    <w:tmpl w:val="32D0E04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5152"/>
    <w:multiLevelType w:val="hybridMultilevel"/>
    <w:tmpl w:val="FD38F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D45A1"/>
    <w:multiLevelType w:val="hybridMultilevel"/>
    <w:tmpl w:val="82743A4A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7F4385B"/>
    <w:multiLevelType w:val="hybridMultilevel"/>
    <w:tmpl w:val="7B86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A5FB0"/>
    <w:multiLevelType w:val="hybridMultilevel"/>
    <w:tmpl w:val="710E9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E5F20"/>
    <w:multiLevelType w:val="hybridMultilevel"/>
    <w:tmpl w:val="86606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3F41"/>
    <w:multiLevelType w:val="hybridMultilevel"/>
    <w:tmpl w:val="9EA48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67C7"/>
    <w:multiLevelType w:val="hybridMultilevel"/>
    <w:tmpl w:val="337EC93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3D96BC9"/>
    <w:multiLevelType w:val="hybridMultilevel"/>
    <w:tmpl w:val="94E20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7536E"/>
    <w:multiLevelType w:val="hybridMultilevel"/>
    <w:tmpl w:val="EDEAC926"/>
    <w:lvl w:ilvl="0" w:tplc="9DD8FC7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8340FAC"/>
    <w:multiLevelType w:val="hybridMultilevel"/>
    <w:tmpl w:val="D7C8D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1B58A4"/>
    <w:multiLevelType w:val="hybridMultilevel"/>
    <w:tmpl w:val="C9AC511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58D41268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3CBC5F56">
      <w:numFmt w:val="bullet"/>
      <w:lvlText w:val="-"/>
      <w:lvlJc w:val="left"/>
      <w:pPr>
        <w:ind w:left="2772" w:hanging="360"/>
      </w:pPr>
      <w:rPr>
        <w:rFonts w:ascii="Calibri" w:eastAsia="Batang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70995C1E"/>
    <w:multiLevelType w:val="hybridMultilevel"/>
    <w:tmpl w:val="85407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5114C"/>
    <w:multiLevelType w:val="hybridMultilevel"/>
    <w:tmpl w:val="63AE9E72"/>
    <w:lvl w:ilvl="0" w:tplc="4296D95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A69E4"/>
    <w:multiLevelType w:val="hybridMultilevel"/>
    <w:tmpl w:val="2DBA9C00"/>
    <w:lvl w:ilvl="0" w:tplc="E5F80F34">
      <w:start w:val="1"/>
      <w:numFmt w:val="bullet"/>
      <w:lvlText w:val=""/>
      <w:lvlJc w:val="left"/>
      <w:pPr>
        <w:ind w:left="1429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760BF0"/>
    <w:multiLevelType w:val="hybridMultilevel"/>
    <w:tmpl w:val="C704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6"/>
  </w:num>
  <w:num w:numId="5">
    <w:abstractNumId w:val="1"/>
  </w:num>
  <w:num w:numId="6">
    <w:abstractNumId w:val="18"/>
  </w:num>
  <w:num w:numId="7">
    <w:abstractNumId w:val="11"/>
  </w:num>
  <w:num w:numId="8">
    <w:abstractNumId w:val="12"/>
  </w:num>
  <w:num w:numId="9">
    <w:abstractNumId w:val="20"/>
  </w:num>
  <w:num w:numId="10">
    <w:abstractNumId w:val="13"/>
  </w:num>
  <w:num w:numId="11">
    <w:abstractNumId w:val="17"/>
  </w:num>
  <w:num w:numId="12">
    <w:abstractNumId w:val="15"/>
  </w:num>
  <w:num w:numId="13">
    <w:abstractNumId w:val="3"/>
  </w:num>
  <w:num w:numId="14">
    <w:abstractNumId w:val="4"/>
  </w:num>
  <w:num w:numId="15">
    <w:abstractNumId w:val="9"/>
  </w:num>
  <w:num w:numId="16">
    <w:abstractNumId w:val="10"/>
  </w:num>
  <w:num w:numId="17">
    <w:abstractNumId w:val="19"/>
  </w:num>
  <w:num w:numId="18">
    <w:abstractNumId w:val="7"/>
  </w:num>
  <w:num w:numId="19">
    <w:abstractNumId w:val="8"/>
  </w:num>
  <w:num w:numId="20">
    <w:abstractNumId w:val="6"/>
  </w:num>
  <w:num w:numId="21">
    <w:abstractNumId w:val="0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9C9"/>
    <w:rsid w:val="00012056"/>
    <w:rsid w:val="00013465"/>
    <w:rsid w:val="00022914"/>
    <w:rsid w:val="00031D8C"/>
    <w:rsid w:val="0003643B"/>
    <w:rsid w:val="0004296F"/>
    <w:rsid w:val="00044D59"/>
    <w:rsid w:val="000458CA"/>
    <w:rsid w:val="00047E9B"/>
    <w:rsid w:val="000570B8"/>
    <w:rsid w:val="00061C52"/>
    <w:rsid w:val="00066DF1"/>
    <w:rsid w:val="00067BD1"/>
    <w:rsid w:val="00074115"/>
    <w:rsid w:val="0007441E"/>
    <w:rsid w:val="00077466"/>
    <w:rsid w:val="00083EC9"/>
    <w:rsid w:val="00085C3F"/>
    <w:rsid w:val="00090588"/>
    <w:rsid w:val="000926DC"/>
    <w:rsid w:val="00097691"/>
    <w:rsid w:val="000B35D1"/>
    <w:rsid w:val="000C0BF0"/>
    <w:rsid w:val="000C1588"/>
    <w:rsid w:val="000C3582"/>
    <w:rsid w:val="000C5740"/>
    <w:rsid w:val="000D1EC3"/>
    <w:rsid w:val="000D4F68"/>
    <w:rsid w:val="000D5E1C"/>
    <w:rsid w:val="000E04F5"/>
    <w:rsid w:val="000F490A"/>
    <w:rsid w:val="00102095"/>
    <w:rsid w:val="00104BFD"/>
    <w:rsid w:val="0010658D"/>
    <w:rsid w:val="00113110"/>
    <w:rsid w:val="001158DE"/>
    <w:rsid w:val="00115926"/>
    <w:rsid w:val="00123DEF"/>
    <w:rsid w:val="0012492D"/>
    <w:rsid w:val="001258BE"/>
    <w:rsid w:val="00131479"/>
    <w:rsid w:val="00134001"/>
    <w:rsid w:val="00135156"/>
    <w:rsid w:val="00136F81"/>
    <w:rsid w:val="001465E4"/>
    <w:rsid w:val="00156981"/>
    <w:rsid w:val="001574DF"/>
    <w:rsid w:val="001576BB"/>
    <w:rsid w:val="00162438"/>
    <w:rsid w:val="00163C00"/>
    <w:rsid w:val="001649BD"/>
    <w:rsid w:val="00172E0F"/>
    <w:rsid w:val="00175B42"/>
    <w:rsid w:val="00177AC6"/>
    <w:rsid w:val="00180BD2"/>
    <w:rsid w:val="00187912"/>
    <w:rsid w:val="0019212F"/>
    <w:rsid w:val="00193B71"/>
    <w:rsid w:val="001A4492"/>
    <w:rsid w:val="001A6671"/>
    <w:rsid w:val="001C737B"/>
    <w:rsid w:val="001E0106"/>
    <w:rsid w:val="001E3FA5"/>
    <w:rsid w:val="001F1FCB"/>
    <w:rsid w:val="001F2322"/>
    <w:rsid w:val="001F6715"/>
    <w:rsid w:val="00201932"/>
    <w:rsid w:val="00204C92"/>
    <w:rsid w:val="00206649"/>
    <w:rsid w:val="00221C46"/>
    <w:rsid w:val="0022568A"/>
    <w:rsid w:val="00225E54"/>
    <w:rsid w:val="002306DA"/>
    <w:rsid w:val="002314E2"/>
    <w:rsid w:val="00233DFF"/>
    <w:rsid w:val="00234991"/>
    <w:rsid w:val="0023499F"/>
    <w:rsid w:val="002401DF"/>
    <w:rsid w:val="00240DDE"/>
    <w:rsid w:val="0024407C"/>
    <w:rsid w:val="00247545"/>
    <w:rsid w:val="0025011F"/>
    <w:rsid w:val="00250BA7"/>
    <w:rsid w:val="00251802"/>
    <w:rsid w:val="0025329B"/>
    <w:rsid w:val="00253B45"/>
    <w:rsid w:val="002544B4"/>
    <w:rsid w:val="002579B4"/>
    <w:rsid w:val="00266475"/>
    <w:rsid w:val="00275D81"/>
    <w:rsid w:val="00275EAF"/>
    <w:rsid w:val="00284B36"/>
    <w:rsid w:val="00296827"/>
    <w:rsid w:val="002A35F5"/>
    <w:rsid w:val="002A4732"/>
    <w:rsid w:val="002B47C1"/>
    <w:rsid w:val="002B5993"/>
    <w:rsid w:val="002C093E"/>
    <w:rsid w:val="002D6AD6"/>
    <w:rsid w:val="002E1BA1"/>
    <w:rsid w:val="002E2625"/>
    <w:rsid w:val="002E5F35"/>
    <w:rsid w:val="002E606B"/>
    <w:rsid w:val="002F2246"/>
    <w:rsid w:val="002F4E41"/>
    <w:rsid w:val="00314F56"/>
    <w:rsid w:val="00324AF6"/>
    <w:rsid w:val="00326006"/>
    <w:rsid w:val="003269C9"/>
    <w:rsid w:val="003278B7"/>
    <w:rsid w:val="00330ACC"/>
    <w:rsid w:val="00347B6D"/>
    <w:rsid w:val="0035066E"/>
    <w:rsid w:val="003538CC"/>
    <w:rsid w:val="0036072E"/>
    <w:rsid w:val="00360C49"/>
    <w:rsid w:val="0036512A"/>
    <w:rsid w:val="00366FFC"/>
    <w:rsid w:val="00371F91"/>
    <w:rsid w:val="00376D8B"/>
    <w:rsid w:val="0038102E"/>
    <w:rsid w:val="00385248"/>
    <w:rsid w:val="00385DB7"/>
    <w:rsid w:val="00394A68"/>
    <w:rsid w:val="003A0BE6"/>
    <w:rsid w:val="003A2ADC"/>
    <w:rsid w:val="003A43EE"/>
    <w:rsid w:val="003B449A"/>
    <w:rsid w:val="003B4BFA"/>
    <w:rsid w:val="003B64FC"/>
    <w:rsid w:val="003D2284"/>
    <w:rsid w:val="003D5734"/>
    <w:rsid w:val="003D64C5"/>
    <w:rsid w:val="003E53EE"/>
    <w:rsid w:val="003E6EA6"/>
    <w:rsid w:val="003F576B"/>
    <w:rsid w:val="00401490"/>
    <w:rsid w:val="004018D3"/>
    <w:rsid w:val="00410CC5"/>
    <w:rsid w:val="00412EB6"/>
    <w:rsid w:val="004146DC"/>
    <w:rsid w:val="00415F03"/>
    <w:rsid w:val="0042445F"/>
    <w:rsid w:val="0043476F"/>
    <w:rsid w:val="00441D7B"/>
    <w:rsid w:val="0045623F"/>
    <w:rsid w:val="00464811"/>
    <w:rsid w:val="0046559D"/>
    <w:rsid w:val="00473A1F"/>
    <w:rsid w:val="00476C3D"/>
    <w:rsid w:val="00477B73"/>
    <w:rsid w:val="00477F26"/>
    <w:rsid w:val="00485CBD"/>
    <w:rsid w:val="004924E2"/>
    <w:rsid w:val="004A72C4"/>
    <w:rsid w:val="004B67C5"/>
    <w:rsid w:val="004C0896"/>
    <w:rsid w:val="004E2646"/>
    <w:rsid w:val="004E2C7A"/>
    <w:rsid w:val="004F055A"/>
    <w:rsid w:val="004F3998"/>
    <w:rsid w:val="004F5334"/>
    <w:rsid w:val="004F780E"/>
    <w:rsid w:val="00501729"/>
    <w:rsid w:val="00501E2D"/>
    <w:rsid w:val="00503343"/>
    <w:rsid w:val="00503F1A"/>
    <w:rsid w:val="00506413"/>
    <w:rsid w:val="0051470E"/>
    <w:rsid w:val="005160EF"/>
    <w:rsid w:val="00521B89"/>
    <w:rsid w:val="00524909"/>
    <w:rsid w:val="00530903"/>
    <w:rsid w:val="00533FC6"/>
    <w:rsid w:val="00536BFD"/>
    <w:rsid w:val="00541F19"/>
    <w:rsid w:val="0054387F"/>
    <w:rsid w:val="005531A0"/>
    <w:rsid w:val="00556FFE"/>
    <w:rsid w:val="0056119E"/>
    <w:rsid w:val="00566CAA"/>
    <w:rsid w:val="005849BE"/>
    <w:rsid w:val="00585E29"/>
    <w:rsid w:val="00591CAA"/>
    <w:rsid w:val="005936C6"/>
    <w:rsid w:val="00594789"/>
    <w:rsid w:val="00594BE7"/>
    <w:rsid w:val="005B4FB2"/>
    <w:rsid w:val="005B7A8A"/>
    <w:rsid w:val="005C22A5"/>
    <w:rsid w:val="005C6533"/>
    <w:rsid w:val="005C725A"/>
    <w:rsid w:val="005C76D1"/>
    <w:rsid w:val="005D193A"/>
    <w:rsid w:val="005D5221"/>
    <w:rsid w:val="005E2EA9"/>
    <w:rsid w:val="005F487F"/>
    <w:rsid w:val="005F6462"/>
    <w:rsid w:val="0060489D"/>
    <w:rsid w:val="00604B37"/>
    <w:rsid w:val="00612791"/>
    <w:rsid w:val="00614AD4"/>
    <w:rsid w:val="00623358"/>
    <w:rsid w:val="00626778"/>
    <w:rsid w:val="00627845"/>
    <w:rsid w:val="006364D1"/>
    <w:rsid w:val="0064050C"/>
    <w:rsid w:val="006416C3"/>
    <w:rsid w:val="006418A1"/>
    <w:rsid w:val="00644E15"/>
    <w:rsid w:val="00646717"/>
    <w:rsid w:val="00647B6F"/>
    <w:rsid w:val="006543EF"/>
    <w:rsid w:val="006567F0"/>
    <w:rsid w:val="006579A0"/>
    <w:rsid w:val="00663CE0"/>
    <w:rsid w:val="006641F8"/>
    <w:rsid w:val="00670823"/>
    <w:rsid w:val="00673B5B"/>
    <w:rsid w:val="006766DA"/>
    <w:rsid w:val="006776E6"/>
    <w:rsid w:val="00681587"/>
    <w:rsid w:val="00691023"/>
    <w:rsid w:val="00691635"/>
    <w:rsid w:val="00692050"/>
    <w:rsid w:val="006A4F8E"/>
    <w:rsid w:val="006B0BBA"/>
    <w:rsid w:val="006C12B0"/>
    <w:rsid w:val="006C58B9"/>
    <w:rsid w:val="006D4644"/>
    <w:rsid w:val="006E7254"/>
    <w:rsid w:val="006F0A4F"/>
    <w:rsid w:val="00703F6C"/>
    <w:rsid w:val="00707FA8"/>
    <w:rsid w:val="00713545"/>
    <w:rsid w:val="0071798C"/>
    <w:rsid w:val="00717CA3"/>
    <w:rsid w:val="00722CE0"/>
    <w:rsid w:val="00730D75"/>
    <w:rsid w:val="007334FC"/>
    <w:rsid w:val="00734F51"/>
    <w:rsid w:val="00737309"/>
    <w:rsid w:val="00737C83"/>
    <w:rsid w:val="0075266C"/>
    <w:rsid w:val="0075519A"/>
    <w:rsid w:val="00755F98"/>
    <w:rsid w:val="00756E7E"/>
    <w:rsid w:val="0075708C"/>
    <w:rsid w:val="00757B20"/>
    <w:rsid w:val="00766BDE"/>
    <w:rsid w:val="00782A57"/>
    <w:rsid w:val="00786B9B"/>
    <w:rsid w:val="00794B1C"/>
    <w:rsid w:val="00794D2B"/>
    <w:rsid w:val="007A21A9"/>
    <w:rsid w:val="007B2B77"/>
    <w:rsid w:val="007B61D5"/>
    <w:rsid w:val="007C05F6"/>
    <w:rsid w:val="007C5F04"/>
    <w:rsid w:val="007C71A5"/>
    <w:rsid w:val="007E26C9"/>
    <w:rsid w:val="007E46A9"/>
    <w:rsid w:val="007E6929"/>
    <w:rsid w:val="0081614C"/>
    <w:rsid w:val="00820E62"/>
    <w:rsid w:val="00822107"/>
    <w:rsid w:val="00843A74"/>
    <w:rsid w:val="00851BF3"/>
    <w:rsid w:val="00861A25"/>
    <w:rsid w:val="00866D4B"/>
    <w:rsid w:val="008676E6"/>
    <w:rsid w:val="00870D6D"/>
    <w:rsid w:val="008720C4"/>
    <w:rsid w:val="00881AD1"/>
    <w:rsid w:val="00886E3B"/>
    <w:rsid w:val="008928B1"/>
    <w:rsid w:val="00896289"/>
    <w:rsid w:val="00896DEE"/>
    <w:rsid w:val="008A47A6"/>
    <w:rsid w:val="008B0DA7"/>
    <w:rsid w:val="008B22DE"/>
    <w:rsid w:val="008B3895"/>
    <w:rsid w:val="008D3C5B"/>
    <w:rsid w:val="008E3833"/>
    <w:rsid w:val="008E3D20"/>
    <w:rsid w:val="008F6EDD"/>
    <w:rsid w:val="009048BB"/>
    <w:rsid w:val="009101D5"/>
    <w:rsid w:val="00912C25"/>
    <w:rsid w:val="00921840"/>
    <w:rsid w:val="00921E82"/>
    <w:rsid w:val="00935CD8"/>
    <w:rsid w:val="009409C7"/>
    <w:rsid w:val="00943EEC"/>
    <w:rsid w:val="0094426E"/>
    <w:rsid w:val="009570D0"/>
    <w:rsid w:val="00964FA1"/>
    <w:rsid w:val="00965E97"/>
    <w:rsid w:val="009707C5"/>
    <w:rsid w:val="00970E7E"/>
    <w:rsid w:val="00972B74"/>
    <w:rsid w:val="0098000F"/>
    <w:rsid w:val="00981B9F"/>
    <w:rsid w:val="00984C86"/>
    <w:rsid w:val="009864BF"/>
    <w:rsid w:val="0099499C"/>
    <w:rsid w:val="00996608"/>
    <w:rsid w:val="009A230D"/>
    <w:rsid w:val="009A5336"/>
    <w:rsid w:val="009B0D66"/>
    <w:rsid w:val="009B2EF2"/>
    <w:rsid w:val="009C224A"/>
    <w:rsid w:val="009C3BE7"/>
    <w:rsid w:val="009C5C23"/>
    <w:rsid w:val="009D2420"/>
    <w:rsid w:val="009D4919"/>
    <w:rsid w:val="009D67EE"/>
    <w:rsid w:val="009E676D"/>
    <w:rsid w:val="009F0E4A"/>
    <w:rsid w:val="009F39ED"/>
    <w:rsid w:val="00A03E43"/>
    <w:rsid w:val="00A06A8E"/>
    <w:rsid w:val="00A15EB7"/>
    <w:rsid w:val="00A17256"/>
    <w:rsid w:val="00A17823"/>
    <w:rsid w:val="00A221BA"/>
    <w:rsid w:val="00A24907"/>
    <w:rsid w:val="00A45713"/>
    <w:rsid w:val="00A535DB"/>
    <w:rsid w:val="00A54959"/>
    <w:rsid w:val="00A565D2"/>
    <w:rsid w:val="00A61BAA"/>
    <w:rsid w:val="00A63F26"/>
    <w:rsid w:val="00A7370F"/>
    <w:rsid w:val="00A75D8B"/>
    <w:rsid w:val="00A823B3"/>
    <w:rsid w:val="00A82B67"/>
    <w:rsid w:val="00A8439E"/>
    <w:rsid w:val="00A91ABF"/>
    <w:rsid w:val="00AA3F4E"/>
    <w:rsid w:val="00AA7D4A"/>
    <w:rsid w:val="00AB6790"/>
    <w:rsid w:val="00AC0FB7"/>
    <w:rsid w:val="00AC2510"/>
    <w:rsid w:val="00AC2FCE"/>
    <w:rsid w:val="00AD17AF"/>
    <w:rsid w:val="00AD20C1"/>
    <w:rsid w:val="00AD3B6C"/>
    <w:rsid w:val="00AD7F74"/>
    <w:rsid w:val="00AF0CC1"/>
    <w:rsid w:val="00AF2738"/>
    <w:rsid w:val="00B02020"/>
    <w:rsid w:val="00B0598D"/>
    <w:rsid w:val="00B16A5D"/>
    <w:rsid w:val="00B21F47"/>
    <w:rsid w:val="00B25346"/>
    <w:rsid w:val="00B2599C"/>
    <w:rsid w:val="00B2634C"/>
    <w:rsid w:val="00B30A10"/>
    <w:rsid w:val="00B33295"/>
    <w:rsid w:val="00B35341"/>
    <w:rsid w:val="00B36F2A"/>
    <w:rsid w:val="00B40329"/>
    <w:rsid w:val="00B55D27"/>
    <w:rsid w:val="00B56F81"/>
    <w:rsid w:val="00B62CBD"/>
    <w:rsid w:val="00B6348F"/>
    <w:rsid w:val="00B76AAC"/>
    <w:rsid w:val="00B81458"/>
    <w:rsid w:val="00B85E27"/>
    <w:rsid w:val="00B927ED"/>
    <w:rsid w:val="00B9660D"/>
    <w:rsid w:val="00BA2CB8"/>
    <w:rsid w:val="00BB22BC"/>
    <w:rsid w:val="00BB372C"/>
    <w:rsid w:val="00BC5775"/>
    <w:rsid w:val="00BD4C2D"/>
    <w:rsid w:val="00BD6B34"/>
    <w:rsid w:val="00BE0607"/>
    <w:rsid w:val="00BE26F5"/>
    <w:rsid w:val="00BF3C2F"/>
    <w:rsid w:val="00BF5C53"/>
    <w:rsid w:val="00C05C14"/>
    <w:rsid w:val="00C1057F"/>
    <w:rsid w:val="00C140F2"/>
    <w:rsid w:val="00C14C84"/>
    <w:rsid w:val="00C24CE1"/>
    <w:rsid w:val="00C349C2"/>
    <w:rsid w:val="00C47093"/>
    <w:rsid w:val="00C64ADF"/>
    <w:rsid w:val="00C81084"/>
    <w:rsid w:val="00C90D3E"/>
    <w:rsid w:val="00C94703"/>
    <w:rsid w:val="00C97851"/>
    <w:rsid w:val="00CB6D21"/>
    <w:rsid w:val="00CC0C46"/>
    <w:rsid w:val="00CC2D3E"/>
    <w:rsid w:val="00CC699B"/>
    <w:rsid w:val="00CE61B7"/>
    <w:rsid w:val="00CF5B4C"/>
    <w:rsid w:val="00CF5B54"/>
    <w:rsid w:val="00CF6A08"/>
    <w:rsid w:val="00D0018C"/>
    <w:rsid w:val="00D07F0C"/>
    <w:rsid w:val="00D13DAA"/>
    <w:rsid w:val="00D14CD5"/>
    <w:rsid w:val="00D16C19"/>
    <w:rsid w:val="00D2302B"/>
    <w:rsid w:val="00D263A6"/>
    <w:rsid w:val="00D270B9"/>
    <w:rsid w:val="00D271A8"/>
    <w:rsid w:val="00D27D01"/>
    <w:rsid w:val="00D335DA"/>
    <w:rsid w:val="00D355C5"/>
    <w:rsid w:val="00D368CF"/>
    <w:rsid w:val="00D4230B"/>
    <w:rsid w:val="00D57EBB"/>
    <w:rsid w:val="00D63E05"/>
    <w:rsid w:val="00D7501B"/>
    <w:rsid w:val="00D76D01"/>
    <w:rsid w:val="00D807EA"/>
    <w:rsid w:val="00D80AC4"/>
    <w:rsid w:val="00D82F90"/>
    <w:rsid w:val="00D8333C"/>
    <w:rsid w:val="00D84D40"/>
    <w:rsid w:val="00D902B7"/>
    <w:rsid w:val="00D9111F"/>
    <w:rsid w:val="00D9250E"/>
    <w:rsid w:val="00D93FB3"/>
    <w:rsid w:val="00D967FB"/>
    <w:rsid w:val="00DA1EDD"/>
    <w:rsid w:val="00DB329B"/>
    <w:rsid w:val="00DB3A34"/>
    <w:rsid w:val="00DB4EB0"/>
    <w:rsid w:val="00DE100B"/>
    <w:rsid w:val="00DE65B8"/>
    <w:rsid w:val="00DF0183"/>
    <w:rsid w:val="00DF5B19"/>
    <w:rsid w:val="00E01E6A"/>
    <w:rsid w:val="00E050D7"/>
    <w:rsid w:val="00E069EC"/>
    <w:rsid w:val="00E0746D"/>
    <w:rsid w:val="00E10ABA"/>
    <w:rsid w:val="00E20F06"/>
    <w:rsid w:val="00E27754"/>
    <w:rsid w:val="00E339CB"/>
    <w:rsid w:val="00E35C5F"/>
    <w:rsid w:val="00E43C37"/>
    <w:rsid w:val="00E47DFA"/>
    <w:rsid w:val="00E55F44"/>
    <w:rsid w:val="00E63D32"/>
    <w:rsid w:val="00E65576"/>
    <w:rsid w:val="00E6609E"/>
    <w:rsid w:val="00E66557"/>
    <w:rsid w:val="00E66D3B"/>
    <w:rsid w:val="00E66D41"/>
    <w:rsid w:val="00E7560D"/>
    <w:rsid w:val="00E81F93"/>
    <w:rsid w:val="00E844B6"/>
    <w:rsid w:val="00E87C91"/>
    <w:rsid w:val="00E946F0"/>
    <w:rsid w:val="00E972A3"/>
    <w:rsid w:val="00EA1993"/>
    <w:rsid w:val="00EA469C"/>
    <w:rsid w:val="00EB6B6E"/>
    <w:rsid w:val="00EB7F63"/>
    <w:rsid w:val="00EC7FA4"/>
    <w:rsid w:val="00ED3A19"/>
    <w:rsid w:val="00ED7420"/>
    <w:rsid w:val="00EE0C01"/>
    <w:rsid w:val="00EE38D2"/>
    <w:rsid w:val="00EE5D35"/>
    <w:rsid w:val="00EE6D71"/>
    <w:rsid w:val="00EF340E"/>
    <w:rsid w:val="00F041EA"/>
    <w:rsid w:val="00F067DB"/>
    <w:rsid w:val="00F16454"/>
    <w:rsid w:val="00F16585"/>
    <w:rsid w:val="00F24A38"/>
    <w:rsid w:val="00F27620"/>
    <w:rsid w:val="00F30087"/>
    <w:rsid w:val="00F35818"/>
    <w:rsid w:val="00F43A00"/>
    <w:rsid w:val="00F52F50"/>
    <w:rsid w:val="00F61C51"/>
    <w:rsid w:val="00F62488"/>
    <w:rsid w:val="00F65DB1"/>
    <w:rsid w:val="00F758CD"/>
    <w:rsid w:val="00F8693A"/>
    <w:rsid w:val="00F86DBB"/>
    <w:rsid w:val="00F92C64"/>
    <w:rsid w:val="00F97380"/>
    <w:rsid w:val="00FB299D"/>
    <w:rsid w:val="00FB5833"/>
    <w:rsid w:val="00FC53A5"/>
    <w:rsid w:val="00FC6FE0"/>
    <w:rsid w:val="00FD72A9"/>
    <w:rsid w:val="00FF0093"/>
    <w:rsid w:val="00FF10C8"/>
    <w:rsid w:val="00FF2641"/>
    <w:rsid w:val="00FF268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894C"/>
  <w15:docId w15:val="{41AF354C-0192-4816-9B48-37FDB4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aliases w:val="Akapit z listą2,L1,Numerowanie,List Paragraph"/>
    <w:basedOn w:val="Normalny"/>
    <w:link w:val="AkapitzlistZnak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uiPriority w:val="99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aliases w:val="Akapit z listą2 Znak,L1 Znak,Numerowanie Znak,List Paragraph Znak"/>
    <w:link w:val="Akapitzlist"/>
    <w:uiPriority w:val="34"/>
    <w:locked/>
    <w:rsid w:val="0025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1825-D82C-4955-B7A7-18E6378A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3845</Words>
  <Characters>23071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Damian Bojanowski</cp:lastModifiedBy>
  <cp:revision>47</cp:revision>
  <cp:lastPrinted>2019-05-10T13:15:00Z</cp:lastPrinted>
  <dcterms:created xsi:type="dcterms:W3CDTF">2019-02-08T15:24:00Z</dcterms:created>
  <dcterms:modified xsi:type="dcterms:W3CDTF">2019-05-11T10:46:00Z</dcterms:modified>
</cp:coreProperties>
</file>